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新疆隆威家具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9日 上午至2021年04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