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22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领导层、办公室、业务部、质检部、财务部</w:t>
            </w:r>
          </w:p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主管领导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：王福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：王财</w:t>
            </w:r>
          </w:p>
        </w:tc>
        <w:tc>
          <w:tcPr>
            <w:tcW w:w="1363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张磊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2021-04-19</w:t>
            </w:r>
          </w:p>
        </w:tc>
        <w:tc>
          <w:tcPr>
            <w:tcW w:w="13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3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91652301399604243Q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长期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rFonts w:hint="default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金属家具、木制家具、塑料家具的制造和销售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bookmarkStart w:id="0" w:name="审核范围"/>
          </w:p>
          <w:p>
            <w:r>
              <w:t>E：金属教学家具、金属办公家具、金属公寓家具的销售所涉及场所的相关环境管理活动</w:t>
            </w:r>
          </w:p>
          <w:bookmarkEnd w:id="0"/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XX生产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经营范围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bookmarkStart w:id="1" w:name="生产地址"/>
            <w:r>
              <w:rPr>
                <w:color w:val="000000"/>
                <w:szCs w:val="21"/>
                <w:u w:val="single"/>
              </w:rPr>
              <w:t>新疆昌吉州昌吉市六工镇下六工村一片区18号</w:t>
            </w:r>
            <w:bookmarkEnd w:id="1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新疆维吾尔自治区乌鲁木齐市米东区新华凌畜牧基地石材区2栋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2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2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highlight w:val="none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企业在建项目清单</w:t>
            </w:r>
            <w:r>
              <w:rPr>
                <w:rFonts w:hint="eastAsia"/>
                <w:color w:val="000000"/>
                <w:highlight w:val="none"/>
              </w:rPr>
              <w:t>》是否一致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与组织总部在同一管理体系下运行     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组织总部有权对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/临时场所进行监督管理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按照统一安排实施内部审核（不强制同一时段）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与组织总部一同进行管理评审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 w:eastAsia="宋体"/>
                <w:color w:val="000000"/>
                <w:lang w:val="en-US" w:eastAsia="zh-CN"/>
              </w:rPr>
              <w:t>钢制家具生产工艺质量标准作业指导书 ：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 w:eastAsia="宋体"/>
                <w:color w:val="000000"/>
                <w:lang w:val="en-US" w:eastAsia="zh-CN"/>
              </w:rPr>
              <w:t>下料→冲压→折弯→焊接→抛丸→磷化→喷涂→固化→组装→成品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30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；操作人员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OHSMS（ISO45001）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HACCP  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color w:val="000000"/>
                <w:szCs w:val="18"/>
                <w:lang w:val="en-US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主要的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内部环境和外部环境分析的充分性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主要的相关方和期望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- 确定</w:t>
            </w:r>
            <w:r>
              <w:rPr>
                <w:rFonts w:hint="eastAsia"/>
                <w:color w:val="000000"/>
                <w:szCs w:val="18"/>
                <w:highlight w:val="none"/>
              </w:rPr>
              <w:t>风险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和机遇</w:t>
            </w:r>
            <w:r>
              <w:rPr>
                <w:rFonts w:hint="eastAsia"/>
                <w:color w:val="000000"/>
                <w:szCs w:val="18"/>
                <w:highlight w:val="none"/>
              </w:rPr>
              <w:t>的识别和评价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szCs w:val="18"/>
                <w:highlight w:val="cya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cyan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组织机构设置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、职责分配及沟通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color w:val="000000"/>
                <w:szCs w:val="18"/>
                <w:highlight w:val="cyan"/>
                <w:lang w:val="en-US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- 确定</w:t>
            </w:r>
            <w:r>
              <w:rPr>
                <w:rFonts w:hint="eastAsia"/>
                <w:color w:val="000000"/>
                <w:szCs w:val="18"/>
                <w:highlight w:val="none"/>
              </w:rPr>
              <w:t>外部提供过程、产品和服务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外包过程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）：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物流运输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未发生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已发生，说明：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cya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其他机构转入情况（适用时）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18"/>
                <w:highlight w:val="cya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已收集到以往的不符合项（共三项）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未收集到以往的不符合项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spacing w:line="360" w:lineRule="auto"/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环境方针：遵守法规，预防污染。；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hd w:val="clear"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《2020年目标分解和完成情况考核》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  <w:shd w:val="pct10" w:color="auto" w:fill="FFFFFF"/>
              </w:rPr>
            </w:pPr>
          </w:p>
          <w:tbl>
            <w:tblPr>
              <w:tblStyle w:val="7"/>
              <w:tblpPr w:leftFromText="180" w:rightFromText="180" w:vertAnchor="text" w:horzAnchor="page" w:tblpX="210" w:tblpY="215"/>
              <w:tblOverlap w:val="never"/>
              <w:tblW w:w="475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3"/>
              <w:gridCol w:w="966"/>
              <w:gridCol w:w="2551"/>
              <w:gridCol w:w="1087"/>
              <w:gridCol w:w="1177"/>
              <w:gridCol w:w="13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3" w:hRule="atLeast"/>
              </w:trPr>
              <w:tc>
                <w:tcPr>
                  <w:tcW w:w="1228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目 标 值</w:t>
                  </w:r>
                </w:p>
              </w:tc>
              <w:tc>
                <w:tcPr>
                  <w:tcW w:w="508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量化</w:t>
                  </w:r>
                </w:p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指标</w:t>
                  </w:r>
                </w:p>
              </w:tc>
              <w:tc>
                <w:tcPr>
                  <w:tcW w:w="1342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测量方法</w:t>
                  </w:r>
                </w:p>
              </w:tc>
              <w:tc>
                <w:tcPr>
                  <w:tcW w:w="572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/>
                      <w:b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lang w:val="en-US" w:eastAsia="zh-CN"/>
                    </w:rPr>
                    <w:t>频次</w:t>
                  </w:r>
                </w:p>
              </w:tc>
              <w:tc>
                <w:tcPr>
                  <w:tcW w:w="61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="宋体"/>
                      <w:b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lang w:val="en-US" w:eastAsia="zh-CN"/>
                    </w:rPr>
                    <w:t>4-6月完成情况</w:t>
                  </w:r>
                </w:p>
              </w:tc>
              <w:tc>
                <w:tcPr>
                  <w:tcW w:w="72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="宋体"/>
                      <w:b/>
                      <w:bCs w:val="0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lang w:val="en-US" w:eastAsia="zh-CN"/>
                    </w:rPr>
                    <w:t>统计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1228" w:type="pct"/>
                  <w:noWrap w:val="0"/>
                  <w:vAlign w:val="center"/>
                </w:tcPr>
                <w:p>
                  <w:pPr>
                    <w:pStyle w:val="4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 xml:space="preserve">固废分类存放处置率 </w:t>
                  </w:r>
                </w:p>
              </w:tc>
              <w:tc>
                <w:tcPr>
                  <w:tcW w:w="508" w:type="pct"/>
                  <w:noWrap w:val="0"/>
                  <w:vAlign w:val="center"/>
                </w:tcPr>
                <w:p>
                  <w:pPr>
                    <w:pStyle w:val="4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 xml:space="preserve">  100％</w:t>
                  </w:r>
                </w:p>
              </w:tc>
              <w:tc>
                <w:tcPr>
                  <w:tcW w:w="1342" w:type="pct"/>
                  <w:noWrap w:val="0"/>
                  <w:vAlign w:val="center"/>
                </w:tcPr>
                <w:p>
                  <w:pPr>
                    <w:spacing w:line="360" w:lineRule="exact"/>
                    <w:ind w:left="198" w:hanging="168" w:hangingChars="100"/>
                    <w:jc w:val="center"/>
                    <w:rPr>
                      <w:rFonts w:hint="eastAsia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</w:rPr>
                    <w:t>处置数/固废数×100%</w:t>
                  </w:r>
                </w:p>
              </w:tc>
              <w:tc>
                <w:tcPr>
                  <w:tcW w:w="572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18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61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72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1228" w:type="pct"/>
                  <w:noWrap w:val="0"/>
                  <w:vAlign w:val="center"/>
                </w:tcPr>
                <w:p>
                  <w:pPr>
                    <w:pStyle w:val="4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火灾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触电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>伤害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发生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>次数</w:t>
                  </w:r>
                </w:p>
              </w:tc>
              <w:tc>
                <w:tcPr>
                  <w:tcW w:w="508" w:type="pct"/>
                  <w:noWrap w:val="0"/>
                  <w:vAlign w:val="center"/>
                </w:tcPr>
                <w:p>
                  <w:pPr>
                    <w:pStyle w:val="4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1342" w:type="pct"/>
                  <w:noWrap w:val="0"/>
                  <w:vAlign w:val="center"/>
                </w:tcPr>
                <w:p>
                  <w:pPr>
                    <w:spacing w:line="360" w:lineRule="exact"/>
                    <w:ind w:left="198" w:hanging="168" w:hangingChars="100"/>
                    <w:jc w:val="center"/>
                    <w:rPr>
                      <w:rFonts w:hint="eastAsia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</w:rPr>
                    <w:t>数据统计分析</w:t>
                  </w:r>
                </w:p>
              </w:tc>
              <w:tc>
                <w:tcPr>
                  <w:tcW w:w="572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18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61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729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/>
                <w:color w:val="000000"/>
                <w:szCs w:val="18"/>
                <w:shd w:val="pct10" w:color="auto" w:fill="FFFFFF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作业文件；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记录表格；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份；详见《记录清单》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，于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25-26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内审计划、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内审检查表、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不符合项报告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，于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15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根据</w:t>
            </w:r>
            <w:r>
              <w:rPr>
                <w:rFonts w:hint="eastAsia"/>
                <w:color w:val="000000"/>
                <w:lang w:val="en-US" w:eastAsia="zh-CN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确认环境影响评价的种类：</w:t>
            </w:r>
          </w:p>
          <w:p>
            <w:pPr>
              <w:rPr>
                <w:rFonts w:hint="default"/>
                <w:color w:val="000000"/>
                <w:szCs w:val="18"/>
                <w:highlight w:val="magenta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环境影响登记表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环境影响报告表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环境影响报告书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其他——不需要</w:t>
            </w:r>
          </w:p>
          <w:p>
            <w:pPr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的充分</w:t>
            </w:r>
            <w:r>
              <w:rPr>
                <w:rFonts w:hint="eastAsia"/>
                <w:color w:val="000000"/>
                <w:szCs w:val="18"/>
              </w:rPr>
              <w:t>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评价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合理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的有效性 ——固废、火灾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</w:t>
            </w:r>
            <w:r>
              <w:rPr>
                <w:rFonts w:hint="eastAsia"/>
                <w:color w:val="000000"/>
                <w:szCs w:val="18"/>
                <w:highlight w:val="none"/>
              </w:rPr>
              <w:t>环境法律和其他要求的获取、</w:t>
            </w:r>
            <w:r>
              <w:rPr>
                <w:rFonts w:hint="eastAsia"/>
                <w:color w:val="000000"/>
                <w:szCs w:val="18"/>
              </w:rPr>
              <w:t>识别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和</w:t>
            </w:r>
            <w:r>
              <w:rPr>
                <w:rFonts w:hint="eastAsia"/>
                <w:color w:val="000000"/>
                <w:szCs w:val="18"/>
              </w:rPr>
              <w:t>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企业进行</w:t>
            </w:r>
            <w:r>
              <w:rPr>
                <w:rFonts w:hint="eastAsia"/>
                <w:color w:val="000000"/>
                <w:szCs w:val="18"/>
              </w:rPr>
              <w:t>合规性评价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的有效性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查看合规性证明（9</w:t>
            </w:r>
            <w:r>
              <w:rPr>
                <w:color w:val="000000"/>
                <w:szCs w:val="18"/>
                <w:highlight w:val="none"/>
              </w:rPr>
              <w:t>8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年后新扩建的环评验收、环境监测报告）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</w:t>
            </w:r>
            <w:r>
              <w:rPr>
                <w:rFonts w:hint="eastAsia"/>
                <w:color w:val="000000"/>
                <w:szCs w:val="18"/>
                <w:lang w:eastAsia="zh-CN"/>
              </w:rPr>
              <w:t>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 无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的收集情况（无）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种类——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剧毒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制订了必要的应急预案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未制订了必要的应急预案</w:t>
            </w:r>
          </w:p>
          <w:p>
            <w:pPr>
              <w:ind w:firstLine="210" w:firstLineChars="100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未发生过紧急事件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未进行应急演练 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状况</w:t>
            </w:r>
            <w:r>
              <w:rPr>
                <w:rFonts w:hint="eastAsia"/>
                <w:color w:val="000000"/>
                <w:szCs w:val="18"/>
              </w:rPr>
              <w:t>（消防备案或消防验收）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消防验收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消防备案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被消防部门抽查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被消防部门处罚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措施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消防栓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灭火器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消防手动报警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消防中控室（如烟感、温感、喷淋）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消防泵房     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消防卷帘门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</w:tc>
        <w:tc>
          <w:tcPr>
            <w:tcW w:w="13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了解环保知识和技能教育的实施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不充分，需要完善： 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了解特种作业人员的状况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高压电工作业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低压电工作业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焊接与热切割作业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高处作业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制冷与空调作业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煤矿安全作业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矿山安全作业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石油天然气安全作业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冶金生产安全作业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危险品安全作业 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烟花爆竹安全作业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了解特种设备作业人员的状况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场内机动车辆（叉车）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起重机械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压力容器（气瓶）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压力管道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电梯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锅炉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客运索道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大型游乐设施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</w:t>
            </w:r>
            <w:r>
              <w:rPr>
                <w:rFonts w:hint="eastAsia"/>
                <w:color w:val="000000"/>
                <w:lang w:val="en-US" w:eastAsia="zh-CN"/>
              </w:rPr>
              <w:t>处罚整改</w:t>
            </w:r>
            <w:r>
              <w:rPr>
                <w:rFonts w:hint="eastAsia"/>
                <w:color w:val="000000"/>
              </w:rPr>
              <w:t>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</w:t>
            </w:r>
            <w:r>
              <w:rPr>
                <w:rFonts w:hint="eastAsia"/>
                <w:color w:val="000000"/>
                <w:lang w:val="en-US" w:eastAsia="zh-CN"/>
              </w:rPr>
              <w:t>环保</w:t>
            </w:r>
            <w:r>
              <w:rPr>
                <w:rFonts w:hint="eastAsia"/>
                <w:color w:val="000000"/>
              </w:rPr>
              <w:t>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</w:t>
            </w:r>
            <w:r>
              <w:rPr>
                <w:rFonts w:hint="eastAsia"/>
                <w:color w:val="000000"/>
                <w:lang w:val="en-US" w:eastAsia="zh-CN"/>
              </w:rPr>
              <w:t>厂区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查看地理位置图、污水管网图（适用时）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工业区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商业区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生态保护区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了解环境影响的种类：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水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电能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天然气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压缩空气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蒸汽（外购）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生活污水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工业废水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废气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粉尘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厂界噪声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固体废弃物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危险废弃物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</w:t>
            </w:r>
            <w:r>
              <w:rPr>
                <w:rFonts w:hint="eastAsia"/>
                <w:color w:val="000000"/>
                <w:lang w:val="en-US" w:eastAsia="zh-CN"/>
              </w:rPr>
              <w:t>的状况，存在下列的场所：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10" w:leftChars="100" w:firstLine="0" w:firstLineChars="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改建/扩建施工现场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其他——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highlight w:val="none"/>
              </w:rPr>
              <w:t>确认生产/服务流程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与提供流程图一致   </w:t>
            </w: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观察</w:t>
            </w:r>
            <w:r>
              <w:rPr>
                <w:rFonts w:hint="eastAsia"/>
                <w:color w:val="000000"/>
                <w:szCs w:val="18"/>
              </w:rPr>
              <w:t>危险化学品的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控制状况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有毒（含剧毒）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污水处理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除尘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尾气回收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降噪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废气处理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危废存放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危化品储罐围堰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其他—垃圾箱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污水在线监测仪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COD监测仪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酸度计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压力表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压差表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温度计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</w:t>
            </w:r>
            <w:r>
              <w:rPr>
                <w:rFonts w:hint="eastAsia"/>
                <w:color w:val="000000"/>
                <w:lang w:val="en-US" w:eastAsia="zh-CN"/>
              </w:rPr>
              <w:t>和完好运行</w:t>
            </w:r>
            <w:r>
              <w:rPr>
                <w:rFonts w:hint="eastAsia"/>
                <w:color w:val="000000"/>
              </w:rPr>
              <w:t>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电梯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安全阀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jc w:val="left"/>
              <w:rPr>
                <w:rFonts w:hint="eastAsia"/>
                <w:color w:val="000000"/>
              </w:rPr>
            </w:pP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观察总排口是否存在明显违规现象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无异常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注册地址变更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经营地址变更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认证范围变更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其他                                     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识别二阶段审核的资源配置情况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有生产/服务现场 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领导层可以迎审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交通食宿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劳保用品  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 其他：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             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识别二阶段审核的可行性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二阶段日期的可接受性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审核组成员的可接受性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一阶段的问题已整改</w:t>
            </w:r>
          </w:p>
          <w:p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 不存在影响二阶段审核的问题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E5391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E678B"/>
    <w:rsid w:val="006F4C57"/>
    <w:rsid w:val="0074211D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81736"/>
    <w:rsid w:val="009973B4"/>
    <w:rsid w:val="009C0511"/>
    <w:rsid w:val="009F78F1"/>
    <w:rsid w:val="009F7EED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4D24AB"/>
    <w:rsid w:val="05A97751"/>
    <w:rsid w:val="06474D98"/>
    <w:rsid w:val="074B64AB"/>
    <w:rsid w:val="07550EED"/>
    <w:rsid w:val="07687D49"/>
    <w:rsid w:val="078E5755"/>
    <w:rsid w:val="088E5134"/>
    <w:rsid w:val="089D2465"/>
    <w:rsid w:val="0B0349A4"/>
    <w:rsid w:val="0B445501"/>
    <w:rsid w:val="0BA547CC"/>
    <w:rsid w:val="0BAB3B27"/>
    <w:rsid w:val="0D4802B9"/>
    <w:rsid w:val="0DB13771"/>
    <w:rsid w:val="0E7B2CC7"/>
    <w:rsid w:val="0F0D1284"/>
    <w:rsid w:val="0F751007"/>
    <w:rsid w:val="0FFD4EAC"/>
    <w:rsid w:val="108219C2"/>
    <w:rsid w:val="10957F92"/>
    <w:rsid w:val="109E2734"/>
    <w:rsid w:val="10AB520A"/>
    <w:rsid w:val="11537B43"/>
    <w:rsid w:val="117B7810"/>
    <w:rsid w:val="117E6D5A"/>
    <w:rsid w:val="12787EE6"/>
    <w:rsid w:val="12D12C05"/>
    <w:rsid w:val="130E504F"/>
    <w:rsid w:val="136C5D47"/>
    <w:rsid w:val="13890C34"/>
    <w:rsid w:val="144E55A7"/>
    <w:rsid w:val="148D2021"/>
    <w:rsid w:val="14BA7805"/>
    <w:rsid w:val="14E66BA5"/>
    <w:rsid w:val="157B3FF7"/>
    <w:rsid w:val="16674354"/>
    <w:rsid w:val="16950047"/>
    <w:rsid w:val="16B113AD"/>
    <w:rsid w:val="184C61B5"/>
    <w:rsid w:val="18A12E8E"/>
    <w:rsid w:val="18BC2642"/>
    <w:rsid w:val="1B121C61"/>
    <w:rsid w:val="1B917B85"/>
    <w:rsid w:val="1B9B6ABA"/>
    <w:rsid w:val="1C2853C6"/>
    <w:rsid w:val="1C5A0E97"/>
    <w:rsid w:val="1C633876"/>
    <w:rsid w:val="1CB32766"/>
    <w:rsid w:val="1DCE5CA3"/>
    <w:rsid w:val="1E1E63FA"/>
    <w:rsid w:val="1F4D1700"/>
    <w:rsid w:val="1F8B7D7A"/>
    <w:rsid w:val="1FA53B1A"/>
    <w:rsid w:val="205B068C"/>
    <w:rsid w:val="21016ED3"/>
    <w:rsid w:val="21517F70"/>
    <w:rsid w:val="217577AF"/>
    <w:rsid w:val="22401A05"/>
    <w:rsid w:val="22847E42"/>
    <w:rsid w:val="22B9290D"/>
    <w:rsid w:val="24130147"/>
    <w:rsid w:val="24564FE2"/>
    <w:rsid w:val="252F00C9"/>
    <w:rsid w:val="25F731AD"/>
    <w:rsid w:val="26241121"/>
    <w:rsid w:val="26826BD1"/>
    <w:rsid w:val="26A36FC5"/>
    <w:rsid w:val="26BA68EB"/>
    <w:rsid w:val="26D86D9D"/>
    <w:rsid w:val="278F25E8"/>
    <w:rsid w:val="28AE480B"/>
    <w:rsid w:val="28B643EE"/>
    <w:rsid w:val="290F2A57"/>
    <w:rsid w:val="29384107"/>
    <w:rsid w:val="29FA5305"/>
    <w:rsid w:val="2ACD303D"/>
    <w:rsid w:val="2B5D50A3"/>
    <w:rsid w:val="2D2D0776"/>
    <w:rsid w:val="2DEB5B9F"/>
    <w:rsid w:val="2EE13094"/>
    <w:rsid w:val="2F2B229D"/>
    <w:rsid w:val="30D4357D"/>
    <w:rsid w:val="322F7AAD"/>
    <w:rsid w:val="337866CB"/>
    <w:rsid w:val="33AF40D7"/>
    <w:rsid w:val="340B6163"/>
    <w:rsid w:val="342E5633"/>
    <w:rsid w:val="35577173"/>
    <w:rsid w:val="357300C6"/>
    <w:rsid w:val="35E657FE"/>
    <w:rsid w:val="35EE55C0"/>
    <w:rsid w:val="360E76A0"/>
    <w:rsid w:val="36233D24"/>
    <w:rsid w:val="362C71DC"/>
    <w:rsid w:val="368D4A53"/>
    <w:rsid w:val="37741286"/>
    <w:rsid w:val="38442B85"/>
    <w:rsid w:val="385A4AB2"/>
    <w:rsid w:val="38CF3AE1"/>
    <w:rsid w:val="38DD558D"/>
    <w:rsid w:val="39F32733"/>
    <w:rsid w:val="3A242819"/>
    <w:rsid w:val="3AC608CB"/>
    <w:rsid w:val="3B705E37"/>
    <w:rsid w:val="3B73298E"/>
    <w:rsid w:val="3B9322CF"/>
    <w:rsid w:val="3BBB3FFC"/>
    <w:rsid w:val="3BE22D59"/>
    <w:rsid w:val="3C4A64C8"/>
    <w:rsid w:val="3D1E51E8"/>
    <w:rsid w:val="3D207B84"/>
    <w:rsid w:val="3D662E26"/>
    <w:rsid w:val="3EBF4EFB"/>
    <w:rsid w:val="40D80BB8"/>
    <w:rsid w:val="413D1451"/>
    <w:rsid w:val="42B6013D"/>
    <w:rsid w:val="43CD568A"/>
    <w:rsid w:val="44075A7A"/>
    <w:rsid w:val="44E8380F"/>
    <w:rsid w:val="44FC1CFD"/>
    <w:rsid w:val="45D93BD6"/>
    <w:rsid w:val="462C25D5"/>
    <w:rsid w:val="46F10F46"/>
    <w:rsid w:val="46F31DBC"/>
    <w:rsid w:val="471219E0"/>
    <w:rsid w:val="47776DD1"/>
    <w:rsid w:val="478A2FD4"/>
    <w:rsid w:val="47F86BFC"/>
    <w:rsid w:val="4A040AF9"/>
    <w:rsid w:val="4A474B11"/>
    <w:rsid w:val="4C133CFF"/>
    <w:rsid w:val="4CD55567"/>
    <w:rsid w:val="4D42347D"/>
    <w:rsid w:val="4DB85769"/>
    <w:rsid w:val="4EB553B7"/>
    <w:rsid w:val="4F53083B"/>
    <w:rsid w:val="4F8F6E42"/>
    <w:rsid w:val="50486EB2"/>
    <w:rsid w:val="504978B1"/>
    <w:rsid w:val="50BE533F"/>
    <w:rsid w:val="50F446D1"/>
    <w:rsid w:val="51A77C3C"/>
    <w:rsid w:val="52721D12"/>
    <w:rsid w:val="52B90ED8"/>
    <w:rsid w:val="534070A9"/>
    <w:rsid w:val="53BF203A"/>
    <w:rsid w:val="54050D0D"/>
    <w:rsid w:val="549F5789"/>
    <w:rsid w:val="54AE16F7"/>
    <w:rsid w:val="54AF6381"/>
    <w:rsid w:val="54F02770"/>
    <w:rsid w:val="558E510B"/>
    <w:rsid w:val="567A1F2F"/>
    <w:rsid w:val="56B614C7"/>
    <w:rsid w:val="57732CC8"/>
    <w:rsid w:val="57861203"/>
    <w:rsid w:val="57D23F41"/>
    <w:rsid w:val="58A62B52"/>
    <w:rsid w:val="58BE376D"/>
    <w:rsid w:val="58FB2D96"/>
    <w:rsid w:val="59A56450"/>
    <w:rsid w:val="59FE62E7"/>
    <w:rsid w:val="5A087CD7"/>
    <w:rsid w:val="5AA17491"/>
    <w:rsid w:val="5AA711C2"/>
    <w:rsid w:val="5AC033AF"/>
    <w:rsid w:val="5B926253"/>
    <w:rsid w:val="5BEB433B"/>
    <w:rsid w:val="5C5D1F9F"/>
    <w:rsid w:val="5CD203AA"/>
    <w:rsid w:val="5CED3B39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1B66EE3"/>
    <w:rsid w:val="623138DD"/>
    <w:rsid w:val="62A55CAB"/>
    <w:rsid w:val="6413502E"/>
    <w:rsid w:val="6554312D"/>
    <w:rsid w:val="663634DC"/>
    <w:rsid w:val="68F6125C"/>
    <w:rsid w:val="69A27837"/>
    <w:rsid w:val="69F73940"/>
    <w:rsid w:val="6A35028E"/>
    <w:rsid w:val="6A4D59DC"/>
    <w:rsid w:val="6A6370D5"/>
    <w:rsid w:val="6A666DEF"/>
    <w:rsid w:val="6A7E2167"/>
    <w:rsid w:val="6AF11F23"/>
    <w:rsid w:val="6C7B045A"/>
    <w:rsid w:val="6CAF4B0F"/>
    <w:rsid w:val="6E847463"/>
    <w:rsid w:val="6F753E02"/>
    <w:rsid w:val="6FB1089E"/>
    <w:rsid w:val="704F0115"/>
    <w:rsid w:val="706053A5"/>
    <w:rsid w:val="70E63C29"/>
    <w:rsid w:val="70F03A75"/>
    <w:rsid w:val="711D4B74"/>
    <w:rsid w:val="71A03430"/>
    <w:rsid w:val="723B7CC8"/>
    <w:rsid w:val="724868FF"/>
    <w:rsid w:val="727536BE"/>
    <w:rsid w:val="72824AAA"/>
    <w:rsid w:val="72BC26A9"/>
    <w:rsid w:val="73125CA2"/>
    <w:rsid w:val="731A42E7"/>
    <w:rsid w:val="73493AB2"/>
    <w:rsid w:val="735B3E71"/>
    <w:rsid w:val="736232A6"/>
    <w:rsid w:val="74024AB6"/>
    <w:rsid w:val="751506D8"/>
    <w:rsid w:val="75370FDC"/>
    <w:rsid w:val="75E954AA"/>
    <w:rsid w:val="75FF34EF"/>
    <w:rsid w:val="764C516C"/>
    <w:rsid w:val="76CC1AB2"/>
    <w:rsid w:val="7723129E"/>
    <w:rsid w:val="77AD636C"/>
    <w:rsid w:val="77FF042D"/>
    <w:rsid w:val="78416EB9"/>
    <w:rsid w:val="785E4287"/>
    <w:rsid w:val="78951B16"/>
    <w:rsid w:val="799F02CD"/>
    <w:rsid w:val="7A3F52B7"/>
    <w:rsid w:val="7A447DAB"/>
    <w:rsid w:val="7A907574"/>
    <w:rsid w:val="7ADF52F1"/>
    <w:rsid w:val="7AF26147"/>
    <w:rsid w:val="7C6F3237"/>
    <w:rsid w:val="7C942478"/>
    <w:rsid w:val="7CA96862"/>
    <w:rsid w:val="7CFC1DF1"/>
    <w:rsid w:val="7DC85058"/>
    <w:rsid w:val="7EE83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9345"/>
      </w:tabs>
      <w:spacing w:line="400" w:lineRule="exact"/>
      <w:ind w:firstLine="6710" w:firstLineChars="1519"/>
    </w:pPr>
    <w:rPr>
      <w:rFonts w:ascii="宋体" w:hAnsi="宋体"/>
      <w:b/>
      <w:sz w:val="44"/>
      <w:szCs w:val="44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  <a:headEnd type="none" w="med" len="med"/>
          <a:tailEnd type="none" w="med" len="med"/>
        </a:ln>
      </a:spPr>
      <a:bodyPr upright="1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968</Words>
  <Characters>5519</Characters>
  <Lines>45</Lines>
  <Paragraphs>12</Paragraphs>
  <TotalTime>10</TotalTime>
  <ScaleCrop>false</ScaleCrop>
  <LinksUpToDate>false</LinksUpToDate>
  <CharactersWithSpaces>6475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2021-04-19T10:35:37Z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8B4DDEA67FE34FBDA6B2379F6716859D</vt:lpwstr>
  </property>
</Properties>
</file>