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w:t>
            </w:r>
            <w:r>
              <w:rPr>
                <w:rFonts w:hint="eastAsia" w:ascii="Times New Roman" w:hAnsi="Times New Roman" w:eastAsia="宋体" w:cs="Times New Roman"/>
                <w:sz w:val="24"/>
                <w:szCs w:val="24"/>
              </w:rPr>
              <w:t>核部门：</w:t>
            </w:r>
            <w:r>
              <w:rPr>
                <w:rFonts w:hint="eastAsia" w:ascii="Times New Roman" w:hAnsi="Times New Roman" w:eastAsia="宋体" w:cs="Times New Roman"/>
                <w:sz w:val="24"/>
                <w:szCs w:val="24"/>
                <w:lang w:val="en-US" w:eastAsia="zh-CN"/>
              </w:rPr>
              <w:t xml:space="preserve">管理层           </w:t>
            </w:r>
            <w:r>
              <w:rPr>
                <w:rFonts w:hint="eastAsia" w:ascii="Times New Roman" w:hAnsi="Times New Roman" w:eastAsia="宋体" w:cs="Times New Roman"/>
                <w:sz w:val="24"/>
                <w:szCs w:val="24"/>
              </w:rPr>
              <w:t>主管领导</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林德发 张辉       </w:t>
            </w:r>
            <w:r>
              <w:rPr>
                <w:rFonts w:hint="eastAsia" w:ascii="Times New Roman" w:hAnsi="Times New Roman" w:eastAsia="宋体" w:cs="Times New Roman"/>
                <w:sz w:val="24"/>
                <w:szCs w:val="24"/>
              </w:rPr>
              <w:t>陪同人员：贺春锋</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           </w:t>
            </w:r>
            <w:r>
              <w:rPr>
                <w:rFonts w:hint="eastAsia"/>
                <w:sz w:val="24"/>
                <w:szCs w:val="24"/>
              </w:rPr>
              <w:t>审核时间：</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Theme="minorEastAsia" w:hAnsiTheme="minorEastAsia" w:eastAsiaTheme="minorEastAsia" w:cstheme="minorEastAsia"/>
                <w:b w:val="0"/>
                <w:bCs w:val="0"/>
                <w:sz w:val="18"/>
                <w:szCs w:val="18"/>
                <w:lang w:val="en-US" w:eastAsia="zh-CN"/>
              </w:rPr>
              <w:t>管理体系策划、过程识别和策划及实施、确定认证范围、领导承诺及职责权限、管理方针和目标及目标完成情况、适用法</w:t>
            </w:r>
            <w:r>
              <w:rPr>
                <w:rFonts w:hint="eastAsia" w:asciiTheme="minorEastAsia" w:hAnsiTheme="minorEastAsia" w:eastAsiaTheme="minorEastAsia" w:cstheme="minorEastAsia"/>
                <w:b w:val="0"/>
                <w:bCs w:val="0"/>
                <w:sz w:val="18"/>
                <w:szCs w:val="18"/>
                <w:u w:val="single"/>
                <w:lang w:val="en-US" w:eastAsia="zh-CN"/>
              </w:rPr>
              <w:t>律法规识别及合规</w:t>
            </w:r>
            <w:r>
              <w:rPr>
                <w:rFonts w:hint="eastAsia" w:asciiTheme="minorEastAsia" w:hAnsiTheme="minorEastAsia" w:eastAsiaTheme="minorEastAsia" w:cstheme="minorEastAsia"/>
                <w:b w:val="0"/>
                <w:bCs w:val="0"/>
                <w:sz w:val="18"/>
                <w:szCs w:val="18"/>
                <w:lang w:val="en-US" w:eastAsia="zh-CN"/>
              </w:rPr>
              <w:t>性评价情况、风险机制的建立和控制情况、不符合纠正及持续改进、管评、资源、监视测量4.1/4.2/4.3/4.4/5.1/5.2/5.3/6.1/6.2/7.1/9.1/9.3/10.1/10.2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left"/>
              <w:rPr>
                <w:rFonts w:ascii="Times New Roman" w:hAnsi="Times New Roman" w:eastAsia="宋体" w:cs="Times New Roman"/>
                <w:kern w:val="2"/>
                <w:sz w:val="21"/>
                <w:lang w:val="en-US" w:eastAsia="zh-CN" w:bidi="ar-SA"/>
              </w:rPr>
            </w:pPr>
            <w:r>
              <w:rPr>
                <w:rFonts w:hint="eastAsia" w:ascii="宋体" w:hAnsi="宋体" w:eastAsia="宋体" w:cs="宋体"/>
                <w:b w:val="0"/>
                <w:bCs w:val="0"/>
                <w:color w:val="auto"/>
                <w:sz w:val="24"/>
                <w:szCs w:val="24"/>
                <w:lang w:val="en-US" w:eastAsia="zh-CN"/>
              </w:rPr>
              <w:t>理解组织及其所处的环境</w:t>
            </w:r>
          </w:p>
        </w:tc>
        <w:tc>
          <w:tcPr>
            <w:tcW w:w="96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w:t>
            </w:r>
          </w:p>
          <w:p>
            <w:pPr>
              <w:jc w:val="left"/>
              <w:rPr>
                <w:rFonts w:hint="eastAsia" w:ascii="宋体" w:hAnsi="宋体" w:eastAsia="宋体" w:cs="宋体"/>
                <w:b w:val="0"/>
                <w:bCs w:val="0"/>
                <w:color w:val="auto"/>
                <w:kern w:val="2"/>
                <w:sz w:val="24"/>
                <w:szCs w:val="24"/>
                <w:u w:val="none"/>
                <w:lang w:val="en-US" w:eastAsia="zh-CN" w:bidi="ar-SA"/>
              </w:rPr>
            </w:pPr>
          </w:p>
        </w:tc>
        <w:tc>
          <w:tcPr>
            <w:tcW w:w="10004"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编制了《组织内外部环境因素清单》包括组织应确定与其宗旨相关的，并影响其实现其EnMS预期结果（s）以及改进能源绩效的能力的外部和内部问题等内容其中；</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内部环境问题</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lang w:val="en-US" w:eastAsia="zh-CN"/>
              </w:rPr>
              <w:t>条、包括“组织的总体表现”、“财务状况”、“基础设施”、“过程运行的环境”、“组织的知识”、“人员能力”、“组织文化”、“工会谈判和协议”、“过程的复杂程度”、“生产或交付能力”、“质量体系的绩效相应的盈利状况”、“组织的结构、程序及组织架构”、“决策的规则”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外部环境问题“</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条、包括“宏观经济学因素”、“货币兑换汇率预测”、“国家经济走向”、“通货膨胀”、“信贷可信性”等；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——查上述内容组织宗旨战略方向基本相关、并对</w:t>
            </w:r>
            <w:r>
              <w:rPr>
                <w:rFonts w:hint="eastAsia" w:ascii="宋体" w:hAnsi="宋体" w:cs="宋体"/>
                <w:b w:val="0"/>
                <w:bCs w:val="0"/>
                <w:color w:val="auto"/>
                <w:sz w:val="24"/>
                <w:szCs w:val="24"/>
                <w:u w:val="single"/>
                <w:lang w:val="en-US" w:eastAsia="zh-CN"/>
              </w:rPr>
              <w:t>能源</w:t>
            </w:r>
            <w:r>
              <w:rPr>
                <w:rFonts w:hint="eastAsia" w:ascii="宋体" w:hAnsi="宋体" w:eastAsia="宋体" w:cs="宋体"/>
                <w:b w:val="0"/>
                <w:bCs w:val="0"/>
                <w:color w:val="auto"/>
                <w:sz w:val="24"/>
                <w:szCs w:val="24"/>
                <w:u w:val="single"/>
                <w:lang w:val="en-US" w:eastAsia="zh-CN"/>
              </w:rPr>
              <w:t>管</w:t>
            </w:r>
            <w:r>
              <w:rPr>
                <w:rFonts w:hint="eastAsia" w:ascii="宋体" w:hAnsi="宋体" w:eastAsia="宋体" w:cs="宋体"/>
                <w:b w:val="0"/>
                <w:bCs w:val="0"/>
                <w:color w:val="auto"/>
                <w:sz w:val="24"/>
                <w:szCs w:val="24"/>
                <w:lang w:val="en-US" w:eastAsia="zh-CN"/>
              </w:rPr>
              <w:t>理体系实现策划能力可以产生一定影响；</w:t>
            </w:r>
          </w:p>
          <w:p>
            <w:pPr>
              <w:jc w:val="left"/>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sz w:val="24"/>
                <w:szCs w:val="24"/>
                <w:lang w:val="en-US" w:eastAsia="zh-CN"/>
              </w:rPr>
              <w:t>成文信息及时更新日期2021.2.18、有编审批；</w:t>
            </w:r>
          </w:p>
        </w:tc>
        <w:tc>
          <w:tcPr>
            <w:tcW w:w="158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理解相关方的需求和期望</w:t>
            </w: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numPr>
                <w:ilvl w:val="0"/>
                <w:numId w:val="0"/>
              </w:numPr>
              <w:ind w:leftChars="0"/>
              <w:rPr>
                <w:rFonts w:hint="eastAsia" w:ascii="宋体" w:hAnsi="宋体" w:eastAsia="宋体" w:cs="宋体"/>
                <w:b/>
                <w:bCs/>
                <w:sz w:val="24"/>
                <w:szCs w:val="24"/>
              </w:rPr>
            </w:pPr>
            <w:r>
              <w:rPr>
                <w:rFonts w:hint="eastAsia" w:ascii="宋体" w:hAnsi="宋体" w:eastAsia="宋体" w:cs="宋体"/>
                <w:b/>
                <w:bCs/>
                <w:sz w:val="24"/>
                <w:szCs w:val="24"/>
              </w:rPr>
              <w:t>法律法规和其他要求</w:t>
            </w:r>
          </w:p>
          <w:p>
            <w:pPr>
              <w:jc w:val="left"/>
              <w:rPr>
                <w:rFonts w:ascii="Times New Roman" w:hAnsi="Times New Roman" w:eastAsia="宋体" w:cs="Times New Roman"/>
                <w:kern w:val="2"/>
                <w:sz w:val="21"/>
                <w:lang w:val="en-US" w:eastAsia="zh-CN" w:bidi="ar-SA"/>
              </w:rPr>
            </w:pPr>
          </w:p>
        </w:tc>
        <w:tc>
          <w:tcPr>
            <w:tcW w:w="96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4.2 </w:t>
            </w:r>
          </w:p>
          <w:p>
            <w:pPr>
              <w:jc w:val="left"/>
              <w:rPr>
                <w:rFonts w:ascii="Times New Roman" w:hAnsi="Times New Roman" w:eastAsia="宋体" w:cs="Times New Roman"/>
                <w:kern w:val="2"/>
                <w:sz w:val="21"/>
                <w:lang w:val="en-US" w:eastAsia="zh-CN" w:bidi="ar-SA"/>
              </w:rPr>
            </w:pPr>
          </w:p>
        </w:tc>
        <w:tc>
          <w:tcPr>
            <w:tcW w:w="10004"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编制了《相关方及其需求清单》包括与能源绩效和EnMS有关的利益关系方及其需要的内容、及监视和评审记录基本有效、参评人等信息；</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其中相关方共</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条、具体“顾客，雇员及其他为组织工作的人员，法律法规及监督机关，地方社会团体，非政府组织”等；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查其需求包括“顾客的要求、例如符合性、价格、安全性”、“与顾客达成的商业合同”、“行业规范及标准”、“行业许可、营业执照、其他授权”、“条约、公约、草案”、“和公共机构及顾客的协议”等；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查组织监视和评审这些相关方的信息及其相关要求基本有效；成文信息及时更新日期</w:t>
            </w:r>
            <w:r>
              <w:rPr>
                <w:rFonts w:hint="eastAsia" w:ascii="宋体" w:hAnsi="宋体" w:cs="宋体"/>
                <w:b w:val="0"/>
                <w:bCs w:val="0"/>
                <w:color w:val="auto"/>
                <w:sz w:val="24"/>
                <w:szCs w:val="24"/>
                <w:lang w:val="en-US" w:eastAsia="zh-CN"/>
              </w:rPr>
              <w:t>2021.1.15</w:t>
            </w:r>
            <w:r>
              <w:rPr>
                <w:rFonts w:hint="eastAsia" w:ascii="宋体" w:hAnsi="宋体" w:eastAsia="宋体" w:cs="宋体"/>
                <w:b w:val="0"/>
                <w:bCs w:val="0"/>
                <w:color w:val="auto"/>
                <w:sz w:val="24"/>
                <w:szCs w:val="24"/>
                <w:lang w:val="en-US" w:eastAsia="zh-CN"/>
              </w:rPr>
              <w:t>、有编审批；</w:t>
            </w:r>
          </w:p>
          <w:p>
            <w:pPr>
              <w:jc w:val="left"/>
              <w:rPr>
                <w:rFonts w:hint="eastAsia" w:ascii="宋体" w:hAnsi="宋体" w:eastAsia="宋体" w:cs="宋体"/>
                <w:b w:val="0"/>
                <w:bCs w:val="0"/>
                <w:color w:val="auto"/>
                <w:sz w:val="24"/>
                <w:szCs w:val="24"/>
                <w:lang w:val="en-US" w:eastAsia="zh-CN"/>
              </w:rPr>
            </w:pPr>
          </w:p>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编制了</w:t>
            </w:r>
            <w:r>
              <w:rPr>
                <w:rFonts w:hint="eastAsia" w:ascii="宋体" w:hAnsi="宋体" w:eastAsia="宋体" w:cs="宋体"/>
                <w:sz w:val="24"/>
                <w:szCs w:val="24"/>
              </w:rPr>
              <w:t>《法律法规</w:t>
            </w:r>
            <w:r>
              <w:rPr>
                <w:rFonts w:hint="eastAsia" w:ascii="宋体" w:hAnsi="宋体" w:eastAsia="宋体" w:cs="宋体"/>
                <w:sz w:val="24"/>
                <w:szCs w:val="24"/>
                <w:lang w:val="en-US" w:eastAsia="zh-CN"/>
              </w:rPr>
              <w:t>和其他要求</w:t>
            </w:r>
            <w:r>
              <w:rPr>
                <w:rFonts w:hint="eastAsia" w:ascii="宋体" w:hAnsi="宋体" w:eastAsia="宋体" w:cs="宋体"/>
                <w:sz w:val="24"/>
                <w:szCs w:val="24"/>
              </w:rPr>
              <w:t>清单》</w:t>
            </w:r>
            <w:r>
              <w:rPr>
                <w:rFonts w:hint="eastAsia" w:ascii="宋体" w:hAnsi="宋体" w:eastAsia="宋体" w:cs="宋体"/>
                <w:sz w:val="24"/>
                <w:szCs w:val="24"/>
                <w:lang w:val="en-US" w:eastAsia="zh-CN"/>
              </w:rPr>
              <w:t>其中法律法规</w:t>
            </w:r>
            <w:r>
              <w:rPr>
                <w:rFonts w:hint="eastAsia" w:ascii="宋体" w:hAnsi="宋体" w:cs="宋体"/>
                <w:sz w:val="24"/>
                <w:szCs w:val="24"/>
                <w:lang w:val="en-US" w:eastAsia="zh-CN"/>
              </w:rPr>
              <w:t>40</w:t>
            </w:r>
            <w:r>
              <w:rPr>
                <w:rFonts w:hint="eastAsia" w:ascii="宋体" w:hAnsi="宋体" w:eastAsia="宋体" w:cs="宋体"/>
                <w:sz w:val="24"/>
                <w:szCs w:val="24"/>
                <w:lang w:val="en-US" w:eastAsia="zh-CN"/>
              </w:rPr>
              <w:t>条、抽查若干：</w:t>
            </w:r>
          </w:p>
          <w:p>
            <w:pPr>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中华人民共和国节约能源法</w:t>
            </w:r>
            <w:r>
              <w:rPr>
                <w:rFonts w:hint="eastAsia" w:ascii="宋体" w:hAnsi="宋体" w:eastAsia="宋体" w:cs="宋体"/>
                <w:sz w:val="24"/>
                <w:szCs w:val="24"/>
                <w:lang w:eastAsia="zh-CN"/>
              </w:rPr>
              <w:t>》</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w:t>
            </w:r>
            <w:r>
              <w:rPr>
                <w:rFonts w:hint="eastAsia" w:ascii="宋体" w:hAnsi="宋体" w:eastAsia="宋体" w:cs="宋体"/>
                <w:sz w:val="24"/>
                <w:szCs w:val="24"/>
                <w:lang w:eastAsia="zh-CN"/>
              </w:rPr>
              <w:t>《中华人民共和国可再生能源法》</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w:t>
            </w:r>
            <w:r>
              <w:rPr>
                <w:rFonts w:hint="eastAsia" w:ascii="宋体" w:hAnsi="宋体" w:eastAsia="宋体" w:cs="宋体"/>
                <w:sz w:val="24"/>
                <w:szCs w:val="24"/>
                <w:lang w:eastAsia="zh-CN"/>
              </w:rPr>
              <w:t>《中华人民共和国清洁生产促进法》</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另抽查</w:t>
            </w:r>
            <w:r>
              <w:rPr>
                <w:rFonts w:hint="eastAsia" w:ascii="宋体" w:hAnsi="宋体" w:eastAsia="宋体" w:cs="宋体"/>
                <w:sz w:val="24"/>
                <w:szCs w:val="24"/>
              </w:rPr>
              <w:t>其他要求</w:t>
            </w:r>
            <w:r>
              <w:rPr>
                <w:rFonts w:hint="eastAsia" w:ascii="宋体" w:hAnsi="宋体" w:eastAsia="宋体" w:cs="宋体"/>
                <w:sz w:val="24"/>
                <w:szCs w:val="24"/>
                <w:lang w:val="en-US" w:eastAsia="zh-CN"/>
              </w:rPr>
              <w:t>若干条：《GBT17167用能计量器具》、《企业能源审计技术通则__GB》、《GBT 15587-2008 工业企业能源管理导则》、《GBT 2587-2009 用能设备能量平衡通则》、《GBT 3484-2009 企业能量平衡通则》等、查“</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实施日期、适用条款”等信息基本适于本组织实际情况；</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上述信息来源：网络、政府下达文件等；</w:t>
            </w:r>
          </w:p>
          <w:p>
            <w:pPr>
              <w:jc w:val="left"/>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组织定期对收集的法律法规和其他要求进行了评审、包括“适用性”、“合规性”等；</w:t>
            </w:r>
          </w:p>
        </w:tc>
        <w:tc>
          <w:tcPr>
            <w:tcW w:w="1585" w:type="dxa"/>
            <w:vAlign w:val="top"/>
          </w:tcPr>
          <w:p>
            <w:pPr>
              <w:rPr>
                <w:rFonts w:hint="eastAsia"/>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ind w:firstLine="240" w:firstLineChars="100"/>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确定能源管理体系的范围</w:t>
            </w:r>
          </w:p>
          <w:p>
            <w:pPr>
              <w:rPr>
                <w:rFonts w:ascii="Times New Roman" w:hAnsi="Times New Roman" w:eastAsia="宋体" w:cs="Times New Roman"/>
                <w:kern w:val="2"/>
                <w:sz w:val="21"/>
                <w:lang w:val="en-US" w:eastAsia="zh-CN" w:bidi="ar-SA"/>
              </w:rPr>
            </w:pP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4.3 </w:t>
            </w:r>
          </w:p>
          <w:p>
            <w:pPr>
              <w:rPr>
                <w:rFonts w:hint="eastAsia" w:ascii="宋体" w:hAnsi="宋体" w:eastAsia="宋体" w:cs="宋体"/>
                <w:color w:val="auto"/>
                <w:kern w:val="2"/>
                <w:sz w:val="24"/>
                <w:szCs w:val="24"/>
                <w:lang w:val="en-US" w:eastAsia="zh-CN" w:bidi="ar-SA"/>
              </w:rPr>
            </w:pPr>
          </w:p>
        </w:tc>
        <w:tc>
          <w:tcPr>
            <w:tcW w:w="10004" w:type="dxa"/>
            <w:vAlign w:val="center"/>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查已经成文信息包括：</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1.“内、外部因素”及“相关方及其需求”；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组</w:t>
            </w:r>
            <w:r>
              <w:rPr>
                <w:rFonts w:hint="eastAsia" w:ascii="宋体" w:hAnsi="宋体" w:eastAsia="宋体" w:cs="宋体"/>
                <w:sz w:val="24"/>
                <w:szCs w:val="24"/>
                <w:u w:val="single"/>
              </w:rPr>
              <w:t>织界定的</w:t>
            </w:r>
            <w:r>
              <w:rPr>
                <w:rFonts w:hint="eastAsia" w:ascii="宋体" w:hAnsi="宋体" w:eastAsia="宋体" w:cs="宋体"/>
                <w:sz w:val="24"/>
                <w:szCs w:val="24"/>
                <w:u w:val="single"/>
                <w:lang w:eastAsia="zh-CN"/>
              </w:rPr>
              <w:t>能源</w:t>
            </w:r>
            <w:r>
              <w:rPr>
                <w:rFonts w:hint="eastAsia" w:ascii="宋体" w:hAnsi="宋体" w:eastAsia="宋体" w:cs="宋体"/>
                <w:sz w:val="24"/>
                <w:szCs w:val="24"/>
                <w:u w:val="single"/>
              </w:rPr>
              <w:t>管理体系的</w:t>
            </w:r>
            <w:r>
              <w:rPr>
                <w:rFonts w:hint="eastAsia" w:ascii="宋体" w:hAnsi="宋体" w:eastAsia="宋体" w:cs="宋体"/>
                <w:sz w:val="24"/>
                <w:szCs w:val="24"/>
              </w:rPr>
              <w:t>范围</w:t>
            </w:r>
            <w:r>
              <w:rPr>
                <w:rFonts w:hint="eastAsia" w:ascii="宋体" w:hAnsi="宋体" w:eastAsia="宋体" w:cs="宋体"/>
                <w:sz w:val="24"/>
                <w:szCs w:val="24"/>
                <w:lang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位于四川省凉山州会理县绿水镇的凉山矿业股份有限公司，资质许可范围内铜业的开采、选矿、冶炼所涉及的能源的管理活动。。</w:t>
            </w:r>
          </w:p>
          <w:p>
            <w:pPr>
              <w:numPr>
                <w:ilvl w:val="0"/>
                <w:numId w:val="0"/>
              </w:numPr>
              <w:ind w:left="0" w:leftChars="0" w:firstLine="0" w:firstLineChars="0"/>
              <w:rPr>
                <w:rFonts w:hint="default" w:ascii="宋体" w:hAnsi="宋体" w:eastAsia="宋体" w:cs="宋体"/>
                <w:color w:val="auto"/>
                <w:kern w:val="2"/>
                <w:sz w:val="24"/>
                <w:szCs w:val="24"/>
                <w:lang w:val="en-US" w:eastAsia="zh-CN" w:bidi="ar-SA"/>
              </w:rPr>
            </w:pPr>
            <w:r>
              <w:rPr>
                <w:rFonts w:hint="eastAsia" w:ascii="宋体" w:hAnsi="宋体" w:cs="宋体"/>
                <w:sz w:val="24"/>
                <w:szCs w:val="24"/>
                <w:lang w:val="en-US" w:eastAsia="zh-CN"/>
              </w:rPr>
              <w:t>查</w:t>
            </w:r>
            <w:r>
              <w:rPr>
                <w:rFonts w:hint="eastAsia" w:ascii="宋体" w:hAnsi="宋体" w:eastAsia="宋体" w:cs="宋体"/>
                <w:sz w:val="24"/>
                <w:szCs w:val="24"/>
                <w:lang w:val="en-US" w:eastAsia="zh-CN"/>
              </w:rPr>
              <w:t>组织</w:t>
            </w:r>
            <w:r>
              <w:rPr>
                <w:rFonts w:hint="eastAsia" w:ascii="宋体" w:hAnsi="宋体" w:cs="宋体"/>
                <w:sz w:val="24"/>
                <w:szCs w:val="24"/>
                <w:u w:val="single"/>
                <w:lang w:val="en-US" w:eastAsia="zh-CN"/>
              </w:rPr>
              <w:t>未</w:t>
            </w:r>
            <w:r>
              <w:rPr>
                <w:rFonts w:hint="eastAsia" w:ascii="宋体" w:hAnsi="宋体" w:eastAsia="宋体" w:cs="宋体"/>
                <w:sz w:val="24"/>
                <w:szCs w:val="24"/>
                <w:u w:val="single"/>
                <w:lang w:val="en-US" w:eastAsia="zh-CN"/>
              </w:rPr>
              <w:t>在</w:t>
            </w:r>
            <w:r>
              <w:rPr>
                <w:rFonts w:hint="eastAsia" w:ascii="宋体" w:hAnsi="宋体" w:cs="宋体"/>
                <w:sz w:val="24"/>
                <w:szCs w:val="24"/>
                <w:u w:val="single"/>
                <w:lang w:val="en-US" w:eastAsia="zh-CN"/>
              </w:rPr>
              <w:t>能源</w:t>
            </w:r>
            <w:r>
              <w:rPr>
                <w:rFonts w:hint="eastAsia" w:ascii="宋体" w:hAnsi="宋体" w:eastAsia="宋体" w:cs="宋体"/>
                <w:sz w:val="24"/>
                <w:szCs w:val="24"/>
                <w:u w:val="single"/>
                <w:lang w:val="en-US" w:eastAsia="zh-CN"/>
              </w:rPr>
              <w:t>范围</w:t>
            </w:r>
            <w:r>
              <w:rPr>
                <w:rFonts w:hint="eastAsia" w:ascii="宋体" w:hAnsi="宋体" w:eastAsia="宋体" w:cs="宋体"/>
                <w:sz w:val="24"/>
                <w:szCs w:val="24"/>
                <w:lang w:val="en-US" w:eastAsia="zh-CN"/>
              </w:rPr>
              <w:t>和边界内，</w:t>
            </w:r>
            <w:r>
              <w:rPr>
                <w:rFonts w:hint="eastAsia" w:ascii="宋体" w:hAnsi="宋体" w:eastAsia="宋体" w:cs="宋体"/>
                <w:sz w:val="24"/>
                <w:szCs w:val="24"/>
                <w:u w:val="single"/>
                <w:lang w:val="en-US" w:eastAsia="zh-CN"/>
              </w:rPr>
              <w:t>去除能源消耗</w:t>
            </w:r>
            <w:r>
              <w:rPr>
                <w:rFonts w:hint="eastAsia" w:ascii="宋体" w:hAnsi="宋体" w:eastAsia="宋体" w:cs="宋体"/>
                <w:sz w:val="24"/>
                <w:szCs w:val="24"/>
                <w:lang w:val="en-US" w:eastAsia="zh-CN"/>
              </w:rPr>
              <w:t>点。</w:t>
            </w:r>
          </w:p>
        </w:tc>
        <w:tc>
          <w:tcPr>
            <w:tcW w:w="1585" w:type="dxa"/>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ascii="宋体" w:hAnsi="宋体" w:eastAsia="宋体" w:cs="宋体"/>
                <w:sz w:val="24"/>
                <w:szCs w:val="24"/>
              </w:rPr>
              <w:t>能源管理体系</w:t>
            </w:r>
          </w:p>
        </w:tc>
        <w:tc>
          <w:tcPr>
            <w:tcW w:w="0" w:type="auto"/>
            <w:vAlign w:val="top"/>
          </w:tcPr>
          <w:p>
            <w:pPr>
              <w:rPr>
                <w:rFonts w:hint="eastAsia" w:ascii="宋体" w:hAnsi="宋体" w:eastAsia="宋体" w:cs="宋体"/>
                <w:sz w:val="24"/>
                <w:szCs w:val="24"/>
              </w:rPr>
            </w:pPr>
            <w:r>
              <w:rPr>
                <w:rFonts w:hint="eastAsia" w:ascii="宋体" w:hAnsi="宋体" w:eastAsia="宋体" w:cs="宋体"/>
                <w:sz w:val="24"/>
                <w:szCs w:val="24"/>
              </w:rPr>
              <w:t>4.4</w:t>
            </w:r>
          </w:p>
          <w:p>
            <w:pPr>
              <w:rPr>
                <w:rFonts w:ascii="Times New Roman" w:hAnsi="Times New Roman" w:eastAsia="宋体" w:cs="Times New Roman"/>
                <w:kern w:val="2"/>
                <w:sz w:val="21"/>
                <w:lang w:val="en-US" w:eastAsia="zh-CN" w:bidi="ar-SA"/>
              </w:rPr>
            </w:pPr>
          </w:p>
        </w:tc>
        <w:tc>
          <w:tcPr>
            <w:tcW w:w="0" w:type="auto"/>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查组织基本做到</w:t>
            </w:r>
            <w:r>
              <w:rPr>
                <w:rFonts w:hint="eastAsia" w:ascii="宋体" w:hAnsi="宋体" w:eastAsia="宋体" w:cs="宋体"/>
                <w:sz w:val="24"/>
                <w:szCs w:val="24"/>
                <w:lang w:val="en-US" w:eastAsia="zh-CN"/>
              </w:rPr>
              <w:t>了：</w:t>
            </w:r>
          </w:p>
          <w:p>
            <w:pPr>
              <w:rPr>
                <w:rFonts w:hint="eastAsia" w:ascii="宋体" w:hAnsi="宋体" w:eastAsia="宋体" w:cs="宋体"/>
                <w:sz w:val="24"/>
                <w:szCs w:val="24"/>
              </w:rPr>
            </w:pPr>
            <w:r>
              <w:rPr>
                <w:rFonts w:hint="eastAsia" w:ascii="宋体" w:hAnsi="宋体" w:eastAsia="宋体" w:cs="宋体"/>
                <w:sz w:val="24"/>
                <w:szCs w:val="24"/>
              </w:rPr>
              <w:t>按</w:t>
            </w:r>
            <w:r>
              <w:rPr>
                <w:rFonts w:hint="eastAsia" w:ascii="宋体" w:hAnsi="宋体" w:cs="宋体"/>
                <w:sz w:val="24"/>
                <w:szCs w:val="24"/>
                <w:lang w:val="en-US" w:eastAsia="zh-CN"/>
              </w:rPr>
              <w:t>ISO</w:t>
            </w:r>
            <w:r>
              <w:rPr>
                <w:rFonts w:hint="eastAsia" w:ascii="宋体" w:hAnsi="宋体" w:eastAsia="宋体" w:cs="宋体"/>
                <w:sz w:val="24"/>
                <w:szCs w:val="24"/>
                <w:lang w:val="en-US" w:eastAsia="zh-CN"/>
              </w:rPr>
              <w:t>50001</w:t>
            </w:r>
            <w:r>
              <w:rPr>
                <w:rFonts w:hint="eastAsia" w:ascii="宋体" w:hAnsi="宋体" w:cs="宋体"/>
                <w:sz w:val="24"/>
                <w:szCs w:val="24"/>
                <w:lang w:val="en-US" w:eastAsia="zh-CN"/>
              </w:rPr>
              <w:t>：</w:t>
            </w: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《能源管理体系 要求》的要求，结合本公司的生产经营活动、产品和服务的实际建立能源管理体系，形成文件，实施、保持和持续改进能源管理。</w:t>
            </w:r>
          </w:p>
          <w:p>
            <w:pPr>
              <w:rPr>
                <w:rFonts w:hint="eastAsia" w:ascii="宋体" w:hAnsi="宋体" w:eastAsia="宋体" w:cs="宋体"/>
                <w:sz w:val="24"/>
                <w:szCs w:val="24"/>
              </w:rPr>
            </w:pPr>
            <w:r>
              <w:rPr>
                <w:rFonts w:hint="eastAsia" w:ascii="宋体" w:hAnsi="宋体" w:eastAsia="宋体" w:cs="宋体"/>
                <w:sz w:val="24"/>
                <w:szCs w:val="24"/>
              </w:rPr>
              <w:t>识别</w:t>
            </w:r>
            <w:r>
              <w:rPr>
                <w:rFonts w:hint="eastAsia" w:ascii="宋体" w:hAnsi="宋体" w:eastAsia="宋体" w:cs="宋体"/>
                <w:sz w:val="24"/>
                <w:szCs w:val="24"/>
                <w:lang w:val="en-US" w:eastAsia="zh-CN"/>
              </w:rPr>
              <w:t>了</w:t>
            </w:r>
            <w:r>
              <w:rPr>
                <w:rFonts w:hint="eastAsia" w:ascii="宋体" w:hAnsi="宋体" w:eastAsia="宋体" w:cs="宋体"/>
                <w:sz w:val="24"/>
                <w:szCs w:val="24"/>
              </w:rPr>
              <w:t>产品、活动和服务中能够控制或可施加影响的能源使用，确定优先控制的重要能源使用；确定本公司适用的法律法规和其他要求；建立适当的能源目标、指标和能源管理方案；</w:t>
            </w: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开展策划、控制、监测、纠正、审核与评审活动，以确保对能源方针的遵守和能源管理体系的持续适应性。</w:t>
            </w:r>
          </w:p>
        </w:tc>
        <w:tc>
          <w:tcPr>
            <w:tcW w:w="0" w:type="auto"/>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ascii="宋体" w:hAnsi="宋体" w:eastAsia="宋体" w:cs="宋体"/>
                <w:sz w:val="24"/>
                <w:szCs w:val="24"/>
              </w:rPr>
              <w:t>领导作用与承诺</w:t>
            </w:r>
          </w:p>
        </w:tc>
        <w:tc>
          <w:tcPr>
            <w:tcW w:w="0" w:type="auto"/>
            <w:vAlign w:val="top"/>
          </w:tcPr>
          <w:p>
            <w:pPr>
              <w:rPr>
                <w:rFonts w:hint="eastAsia" w:ascii="宋体" w:hAnsi="宋体" w:eastAsia="宋体" w:cs="宋体"/>
                <w:sz w:val="24"/>
                <w:szCs w:val="24"/>
              </w:rPr>
            </w:pPr>
            <w:r>
              <w:rPr>
                <w:rFonts w:hint="eastAsia" w:ascii="宋体" w:hAnsi="宋体" w:eastAsia="宋体" w:cs="宋体"/>
                <w:sz w:val="24"/>
                <w:szCs w:val="24"/>
              </w:rPr>
              <w:t xml:space="preserve">5.1 </w:t>
            </w:r>
          </w:p>
          <w:p>
            <w:pPr>
              <w:rPr>
                <w:rFonts w:hint="default" w:ascii="宋体" w:hAnsi="宋体" w:eastAsia="宋体" w:cs="宋体"/>
                <w:color w:val="auto"/>
                <w:kern w:val="2"/>
                <w:sz w:val="24"/>
                <w:szCs w:val="24"/>
                <w:lang w:val="en-US" w:eastAsia="zh-CN" w:bidi="ar-SA"/>
              </w:rPr>
            </w:pPr>
          </w:p>
        </w:tc>
        <w:tc>
          <w:tcPr>
            <w:tcW w:w="0" w:type="auto"/>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通过</w:t>
            </w:r>
            <w:r>
              <w:rPr>
                <w:rFonts w:hint="eastAsia" w:ascii="宋体" w:hAnsi="宋体" w:eastAsia="宋体" w:cs="宋体"/>
                <w:sz w:val="24"/>
                <w:szCs w:val="24"/>
                <w:lang w:val="en-US" w:eastAsia="zh-CN"/>
              </w:rPr>
              <w:t>交流</w:t>
            </w:r>
            <w:r>
              <w:rPr>
                <w:rFonts w:hint="eastAsia" w:ascii="宋体" w:hAnsi="宋体" w:cs="宋体"/>
                <w:sz w:val="24"/>
                <w:szCs w:val="24"/>
                <w:lang w:val="en-US" w:eastAsia="zh-CN"/>
              </w:rPr>
              <w:t>可知最高管理者已经</w:t>
            </w:r>
            <w:r>
              <w:rPr>
                <w:rFonts w:hint="eastAsia" w:ascii="宋体" w:hAnsi="宋体" w:eastAsia="宋体" w:cs="宋体"/>
                <w:sz w:val="24"/>
                <w:szCs w:val="24"/>
                <w:lang w:val="en-US"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a）</w:t>
            </w:r>
            <w:r>
              <w:rPr>
                <w:rFonts w:hint="eastAsia" w:ascii="宋体" w:hAnsi="宋体" w:eastAsia="宋体" w:cs="宋体"/>
                <w:sz w:val="24"/>
                <w:szCs w:val="24"/>
              </w:rPr>
              <w:tab/>
            </w:r>
            <w:r>
              <w:rPr>
                <w:rFonts w:hint="eastAsia" w:ascii="宋体" w:hAnsi="宋体" w:eastAsia="宋体" w:cs="宋体"/>
                <w:sz w:val="24"/>
                <w:szCs w:val="24"/>
              </w:rPr>
              <w:t>确保建立EnMS范围和边界</w:t>
            </w:r>
            <w:r>
              <w:rPr>
                <w:rFonts w:hint="eastAsia" w:ascii="宋体" w:hAnsi="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rPr>
              <w:tab/>
            </w:r>
            <w:r>
              <w:rPr>
                <w:rFonts w:hint="eastAsia" w:ascii="宋体" w:hAnsi="宋体" w:eastAsia="宋体" w:cs="宋体"/>
                <w:sz w:val="24"/>
                <w:szCs w:val="24"/>
              </w:rPr>
              <w:t>确保建立能源方针、目标和能源指标，并确保与其组织的战略方向相一致；</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cs="宋体"/>
                <w:sz w:val="24"/>
                <w:szCs w:val="24"/>
                <w:lang w:eastAsia="zh-CN"/>
              </w:rPr>
            </w:pPr>
            <w:r>
              <w:rPr>
                <w:rFonts w:hint="eastAsia" w:ascii="宋体" w:hAnsi="宋体" w:eastAsia="宋体" w:cs="宋体"/>
                <w:sz w:val="24"/>
                <w:szCs w:val="24"/>
              </w:rPr>
              <w:t>c）</w:t>
            </w:r>
            <w:r>
              <w:rPr>
                <w:rFonts w:hint="eastAsia" w:ascii="宋体" w:hAnsi="宋体" w:eastAsia="宋体" w:cs="宋体"/>
                <w:sz w:val="24"/>
                <w:szCs w:val="24"/>
              </w:rPr>
              <w:tab/>
            </w:r>
            <w:r>
              <w:rPr>
                <w:rFonts w:hint="eastAsia" w:ascii="宋体" w:hAnsi="宋体" w:eastAsia="宋体" w:cs="宋体"/>
                <w:sz w:val="24"/>
                <w:szCs w:val="24"/>
              </w:rPr>
              <w:t>确保将能源管理体系要求融入到组织的业务流程中</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sz w:val="24"/>
                <w:szCs w:val="24"/>
                <w:lang w:eastAsia="zh-CN"/>
              </w:rPr>
            </w:pPr>
            <w:r>
              <w:rPr>
                <w:rFonts w:hint="eastAsia" w:ascii="宋体" w:hAnsi="宋体" w:cs="宋体"/>
                <w:b w:val="0"/>
                <w:bCs w:val="0"/>
                <w:color w:val="auto"/>
                <w:sz w:val="24"/>
                <w:szCs w:val="24"/>
                <w:lang w:val="en-US" w:eastAsia="zh-CN"/>
              </w:rPr>
              <w:t>包括</w:t>
            </w:r>
            <w:r>
              <w:rPr>
                <w:rFonts w:hint="eastAsia" w:ascii="宋体" w:hAnsi="宋体" w:eastAsia="宋体" w:cs="宋体"/>
                <w:b w:val="0"/>
                <w:bCs w:val="0"/>
                <w:color w:val="auto"/>
                <w:sz w:val="24"/>
                <w:szCs w:val="24"/>
                <w:lang w:val="en-US" w:eastAsia="zh-CN"/>
              </w:rPr>
              <w:t>确保</w:t>
            </w:r>
            <w:r>
              <w:rPr>
                <w:rFonts w:hint="eastAsia" w:ascii="宋体" w:hAnsi="宋体" w:cs="宋体"/>
                <w:b w:val="0"/>
                <w:bCs w:val="0"/>
                <w:color w:val="auto"/>
                <w:sz w:val="24"/>
                <w:szCs w:val="24"/>
                <w:lang w:val="en-US" w:eastAsia="zh-CN"/>
              </w:rPr>
              <w:t>能源</w:t>
            </w:r>
            <w:r>
              <w:rPr>
                <w:rFonts w:hint="eastAsia" w:ascii="宋体" w:hAnsi="宋体" w:eastAsia="宋体" w:cs="宋体"/>
                <w:b w:val="0"/>
                <w:bCs w:val="0"/>
                <w:color w:val="auto"/>
                <w:sz w:val="24"/>
                <w:szCs w:val="24"/>
                <w:lang w:val="en-US" w:eastAsia="zh-CN"/>
              </w:rPr>
              <w:t xml:space="preserve">管理体系和本组织的相关职能部门及过程的接口和融入、这包括设计开发、生产及仓储物流、原材料的采购、过程的监视和测量等均按照标准要求制定了让相关的程序文件和作业指导书、提供了过程的监视和质量目标的监视、完成了内审和管评的过程等； </w:t>
            </w:r>
          </w:p>
          <w:p>
            <w:pPr>
              <w:rPr>
                <w:rFonts w:hint="eastAsia" w:ascii="宋体" w:hAnsi="宋体" w:cs="宋体"/>
                <w:sz w:val="24"/>
                <w:szCs w:val="24"/>
                <w:lang w:eastAsia="zh-CN"/>
              </w:rPr>
            </w:pPr>
            <w:r>
              <w:rPr>
                <w:rFonts w:hint="eastAsia" w:ascii="宋体" w:hAnsi="宋体" w:eastAsia="宋体" w:cs="宋体"/>
                <w:sz w:val="24"/>
                <w:szCs w:val="24"/>
              </w:rPr>
              <w:t>d）</w:t>
            </w:r>
            <w:r>
              <w:rPr>
                <w:rFonts w:hint="eastAsia" w:ascii="宋体" w:hAnsi="宋体" w:eastAsia="宋体" w:cs="宋体"/>
                <w:sz w:val="24"/>
                <w:szCs w:val="24"/>
              </w:rPr>
              <w:tab/>
            </w:r>
            <w:r>
              <w:rPr>
                <w:rFonts w:hint="eastAsia" w:ascii="宋体" w:hAnsi="宋体" w:eastAsia="宋体" w:cs="宋体"/>
                <w:sz w:val="24"/>
                <w:szCs w:val="24"/>
              </w:rPr>
              <w:t>确保策划方案得到批准和实施</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e）</w:t>
            </w:r>
            <w:r>
              <w:rPr>
                <w:rFonts w:hint="eastAsia" w:ascii="宋体" w:hAnsi="宋体" w:eastAsia="宋体" w:cs="宋体"/>
                <w:sz w:val="24"/>
                <w:szCs w:val="24"/>
              </w:rPr>
              <w:tab/>
            </w:r>
            <w:r>
              <w:rPr>
                <w:rFonts w:hint="eastAsia" w:ascii="宋体" w:hAnsi="宋体" w:eastAsia="宋体" w:cs="宋体"/>
                <w:sz w:val="24"/>
                <w:szCs w:val="24"/>
              </w:rPr>
              <w:t>确保可获得EnMS所需的资源</w:t>
            </w:r>
            <w:r>
              <w:rPr>
                <w:rFonts w:hint="eastAsia" w:ascii="宋体" w:hAnsi="宋体" w:cs="宋体"/>
                <w:sz w:val="24"/>
                <w:szCs w:val="24"/>
                <w:lang w:eastAsia="zh-CN"/>
              </w:rPr>
              <w:t>；</w:t>
            </w:r>
            <w:r>
              <w:rPr>
                <w:rFonts w:hint="eastAsia" w:ascii="宋体" w:hAnsi="宋体" w:eastAsia="宋体" w:cs="宋体"/>
                <w:b w:val="0"/>
                <w:bCs w:val="0"/>
                <w:color w:val="auto"/>
                <w:sz w:val="24"/>
                <w:szCs w:val="24"/>
                <w:lang w:val="en-US" w:eastAsia="zh-CN"/>
              </w:rPr>
              <w:t>组织明确了体系要求的在人力物力财力方面的需求，及那些受到约束的条件并形成文件信息予以保留；</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f）就有效能源管理的重要性和符合能源管理体系要求的重要性进行沟通；</w:t>
            </w:r>
            <w:r>
              <w:rPr>
                <w:rFonts w:hint="eastAsia" w:ascii="宋体" w:hAnsi="宋体" w:eastAsia="宋体" w:cs="宋体"/>
                <w:b w:val="0"/>
                <w:bCs w:val="0"/>
                <w:color w:val="auto"/>
                <w:sz w:val="24"/>
                <w:szCs w:val="24"/>
                <w:lang w:val="en-US" w:eastAsia="zh-CN"/>
              </w:rPr>
              <w:t>通过内部会议、邮件、讨论等形式获取有价值的沟通等；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g）确保能源管理体系实现其预期的结果</w:t>
            </w:r>
            <w:r>
              <w:rPr>
                <w:rFonts w:hint="eastAsia" w:ascii="宋体" w:hAnsi="宋体" w:cs="宋体"/>
                <w:sz w:val="24"/>
                <w:szCs w:val="24"/>
                <w:lang w:eastAsia="zh-CN"/>
              </w:rPr>
              <w:t>；</w:t>
            </w:r>
            <w:r>
              <w:rPr>
                <w:rFonts w:hint="eastAsia" w:ascii="宋体" w:hAnsi="宋体" w:eastAsia="宋体" w:cs="宋体"/>
                <w:b w:val="0"/>
                <w:bCs w:val="0"/>
                <w:color w:val="auto"/>
                <w:sz w:val="24"/>
                <w:szCs w:val="24"/>
                <w:lang w:val="en-US" w:eastAsia="zh-CN"/>
              </w:rPr>
              <w:t>监视质量管理体系的输出、确保纠正措施落实到个人或团队；</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h）促进能源管理体系和能源绩效的持续改进；</w:t>
            </w:r>
            <w:r>
              <w:rPr>
                <w:rFonts w:hint="eastAsia" w:ascii="宋体" w:hAnsi="宋体" w:eastAsia="宋体" w:cs="宋体"/>
                <w:b w:val="0"/>
                <w:bCs w:val="0"/>
                <w:color w:val="auto"/>
                <w:sz w:val="24"/>
                <w:szCs w:val="24"/>
                <w:lang w:val="en-US" w:eastAsia="zh-CN"/>
              </w:rPr>
              <w:t>内审、管评、第三方审核等提出的一家和建议在内部沟通；</w:t>
            </w:r>
          </w:p>
          <w:p>
            <w:pPr>
              <w:rPr>
                <w:rFonts w:hint="eastAsia" w:ascii="宋体" w:hAnsi="宋体" w:eastAsia="宋体" w:cs="宋体"/>
                <w:sz w:val="24"/>
                <w:szCs w:val="24"/>
                <w:lang w:eastAsia="zh-CN"/>
              </w:rPr>
            </w:pPr>
            <w:r>
              <w:rPr>
                <w:rFonts w:hint="eastAsia" w:ascii="宋体" w:hAnsi="宋体" w:eastAsia="宋体" w:cs="宋体"/>
                <w:sz w:val="24"/>
                <w:szCs w:val="24"/>
              </w:rPr>
              <w:t>i）确保组建能源管理团队</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j）指导并支持员工对能源管理体系的有效性和能源绩效改进作出贡献</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k）支持其他相关的管理人员在其职责范围内执行其领导作用</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l）确保EnPI（s）恰当地表示能源性能</w:t>
            </w:r>
            <w:r>
              <w:rPr>
                <w:rFonts w:hint="eastAsia" w:ascii="宋体" w:hAnsi="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m）确保建立和实施流程，以识别和确定在能源管理体系范围和边界内能源管理体系和能源绩效的变化影响。</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宋体" w:hAnsi="宋体" w:eastAsia="宋体" w:cs="宋体"/>
                <w:color w:val="auto"/>
                <w:kern w:val="2"/>
                <w:sz w:val="24"/>
                <w:szCs w:val="24"/>
                <w:lang w:val="en-US" w:eastAsia="zh-CN" w:bidi="ar-SA"/>
              </w:rPr>
            </w:pP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现场审核管理层的行为、态度和决定之间基本一致，日常的态度严谨认真、可以做到以身作则、及和部属的有效沟通；另查书面的承诺及质量管理体系的绩效结果等基本符合规定；</w:t>
            </w:r>
          </w:p>
        </w:tc>
        <w:tc>
          <w:tcPr>
            <w:tcW w:w="0" w:type="auto"/>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ascii="宋体" w:hAnsi="宋体" w:eastAsia="宋体" w:cs="宋体"/>
                <w:sz w:val="24"/>
                <w:szCs w:val="24"/>
              </w:rPr>
              <w:t>能源方针</w:t>
            </w:r>
          </w:p>
        </w:tc>
        <w:tc>
          <w:tcPr>
            <w:tcW w:w="0" w:type="auto"/>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5.2 </w:t>
            </w:r>
          </w:p>
          <w:p>
            <w:pPr>
              <w:rPr>
                <w:rFonts w:hint="eastAsia" w:ascii="宋体" w:hAnsi="宋体" w:eastAsia="宋体" w:cs="宋体"/>
                <w:b w:val="0"/>
                <w:bCs w:val="0"/>
                <w:color w:val="auto"/>
                <w:kern w:val="2"/>
                <w:sz w:val="24"/>
                <w:szCs w:val="24"/>
                <w:lang w:val="en-US" w:eastAsia="zh-CN" w:bidi="ar-SA"/>
              </w:rPr>
            </w:pPr>
          </w:p>
        </w:tc>
        <w:tc>
          <w:tcPr>
            <w:tcW w:w="0" w:type="auto"/>
            <w:vAlign w:val="center"/>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组织的能源方针：</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“遵守法规 清洁生产；节能降耗 创新改造；能耗限额 持续改进”、</w:t>
            </w:r>
          </w:p>
          <w:p>
            <w:pP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包含了“以确保实现目标和能源指标的必要的资源和有效的信息、以满足适用的法律要求和能源效率、能源使用和能源消耗相关的其他要求、以获得能源管理体系和能源绩效的持续改进、支持能影响能源绩效的节能产品和服务的采购、支持考虑能源绩效改进活动的设计”、且予以发布——基本符合规定；</w:t>
            </w:r>
          </w:p>
        </w:tc>
        <w:tc>
          <w:tcPr>
            <w:tcW w:w="0" w:type="auto"/>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pPr>
              <w:rPr>
                <w:rFonts w:ascii="Times New Roman" w:hAnsi="Times New Roman" w:eastAsia="宋体" w:cs="Times New Roman"/>
                <w:kern w:val="2"/>
                <w:sz w:val="21"/>
                <w:lang w:val="en-US" w:eastAsia="zh-CN" w:bidi="ar-SA"/>
              </w:rPr>
            </w:pPr>
          </w:p>
        </w:tc>
        <w:tc>
          <w:tcPr>
            <w:tcW w:w="0" w:type="auto"/>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5.3 </w:t>
            </w:r>
          </w:p>
          <w:p>
            <w:pPr>
              <w:rPr>
                <w:rFonts w:hint="eastAsia" w:ascii="宋体" w:hAnsi="宋体" w:eastAsia="宋体" w:cs="宋体"/>
                <w:b w:val="0"/>
                <w:bCs w:val="0"/>
                <w:color w:val="auto"/>
                <w:kern w:val="2"/>
                <w:sz w:val="24"/>
                <w:szCs w:val="24"/>
                <w:lang w:val="en-US" w:eastAsia="zh-CN" w:bidi="ar-SA"/>
              </w:rPr>
            </w:pPr>
          </w:p>
        </w:tc>
        <w:tc>
          <w:tcPr>
            <w:tcW w:w="0" w:type="auto"/>
            <w:vAlign w:val="top"/>
          </w:tcPr>
          <w:p>
            <w:pP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查</w:t>
            </w:r>
            <w:r>
              <w:rPr>
                <w:rFonts w:hint="eastAsia" w:ascii="宋体" w:hAnsi="宋体" w:eastAsia="宋体" w:cs="宋体"/>
                <w:b w:val="0"/>
                <w:bCs w:val="0"/>
                <w:color w:val="auto"/>
                <w:sz w:val="24"/>
                <w:szCs w:val="24"/>
                <w:lang w:val="en-US" w:eastAsia="zh-CN"/>
              </w:rPr>
              <w:t>最高管理者</w:t>
            </w:r>
            <w:r>
              <w:rPr>
                <w:rFonts w:hint="eastAsia" w:ascii="宋体" w:hAnsi="宋体" w:cs="宋体"/>
                <w:b w:val="0"/>
                <w:bCs w:val="0"/>
                <w:color w:val="auto"/>
                <w:sz w:val="24"/>
                <w:szCs w:val="24"/>
                <w:lang w:val="en-US" w:eastAsia="zh-CN"/>
              </w:rPr>
              <w:t xml:space="preserve"> 可以</w:t>
            </w:r>
            <w:r>
              <w:rPr>
                <w:rFonts w:hint="eastAsia" w:ascii="宋体" w:hAnsi="宋体" w:eastAsia="宋体" w:cs="宋体"/>
                <w:b w:val="0"/>
                <w:bCs w:val="0"/>
                <w:color w:val="auto"/>
                <w:sz w:val="24"/>
                <w:szCs w:val="24"/>
                <w:lang w:val="en-US" w:eastAsia="zh-CN"/>
              </w:rPr>
              <w:t>确保组织内相关角色的职责和权限得到分配和沟通。</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最高管理者分配给能源管理团队职责和权力</w:t>
            </w:r>
            <w:r>
              <w:rPr>
                <w:rFonts w:hint="eastAsia" w:ascii="宋体" w:hAnsi="宋体" w:cs="宋体"/>
                <w:b w:val="0"/>
                <w:bCs w:val="0"/>
                <w:color w:val="auto"/>
                <w:sz w:val="24"/>
                <w:szCs w:val="24"/>
                <w:lang w:val="en-US" w:eastAsia="zh-CN"/>
              </w:rPr>
              <w:t>包括</w:t>
            </w:r>
            <w:r>
              <w:rPr>
                <w:rFonts w:hint="eastAsia" w:ascii="宋体" w:hAnsi="宋体" w:eastAsia="宋体" w:cs="宋体"/>
                <w:b w:val="0"/>
                <w:bCs w:val="0"/>
                <w:color w:val="auto"/>
                <w:sz w:val="24"/>
                <w:szCs w:val="24"/>
                <w:lang w:val="en-US" w:eastAsia="zh-CN"/>
              </w:rPr>
              <w:t>:</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a)确保环境管理体系的建立、实施、维护和持续改进;</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b)确保EnMS符合本文件的要求;</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c)执行行动计划(见6.2)，持续改善能源性能;</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d)定期向最高管理层汇报EnMS的绩效和能源绩效的改善情况;</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e)建立标准和方法，以确保EnMS的操作和控制是有效的。 </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最高管理者管理职责和权限：</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⑴ 确定能源方针，并实践和保持能源方针；</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⑵ 任命管理者代表和批准组建能源管理团队；</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⑶ 提供能源管理体系建立、实施、保持和持续改进所需要的资源，以达到能源绩效目标（资源包括人力资源、专业技能、技术和财务资源等）。</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⑷ 确定能源管理体系的范围和边界；</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⑸ 在内部传达能源管理的重要性；</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⑹ 确保建立能源目标、指标；</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⑺ 确保能源绩效参数适用于本公司；</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⑻ 在长期规划中考虑能源绩效问题；</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⑼ 确保按照规定的时间间隔评价和报告能源管理的结果；</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⑽ 实施管理评审。</w:t>
            </w:r>
          </w:p>
          <w:p>
            <w:pPr>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——查上述内容在最高管理者的工作中基本得到体现。</w:t>
            </w:r>
          </w:p>
        </w:tc>
        <w:tc>
          <w:tcPr>
            <w:tcW w:w="0" w:type="auto"/>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应对风险和机遇的措施  </w:t>
            </w:r>
          </w:p>
          <w:p>
            <w:pPr>
              <w:rPr>
                <w:rFonts w:hint="eastAsia" w:ascii="宋体" w:hAnsi="宋体" w:eastAsia="宋体" w:cs="宋体"/>
                <w:b w:val="0"/>
                <w:bCs w:val="0"/>
                <w:color w:val="auto"/>
                <w:kern w:val="2"/>
                <w:sz w:val="24"/>
                <w:szCs w:val="24"/>
                <w:lang w:val="en-US" w:eastAsia="zh-CN" w:bidi="ar-SA"/>
              </w:rPr>
            </w:pPr>
          </w:p>
        </w:tc>
        <w:tc>
          <w:tcPr>
            <w:tcW w:w="0" w:type="auto"/>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6.1.1</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6.1.2</w:t>
            </w:r>
          </w:p>
          <w:p>
            <w:pPr>
              <w:rPr>
                <w:rFonts w:hint="eastAsia" w:ascii="宋体" w:hAnsi="宋体" w:eastAsia="宋体" w:cs="宋体"/>
                <w:b w:val="0"/>
                <w:bCs w:val="0"/>
                <w:color w:val="auto"/>
                <w:kern w:val="2"/>
                <w:sz w:val="24"/>
                <w:szCs w:val="24"/>
                <w:lang w:val="en-US" w:eastAsia="zh-CN" w:bidi="ar-SA"/>
              </w:rPr>
            </w:pPr>
          </w:p>
        </w:tc>
        <w:tc>
          <w:tcPr>
            <w:tcW w:w="0" w:type="auto"/>
            <w:vAlign w:val="center"/>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编制了《2021年“能源”风险与机遇评价及应对措施策划表》包括“内外部因素、相关方及其需求、风险类别、风险机遇描述、应对措施的策划、措施有效性评价、执行和责任部门”等内容；其中：</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识别的风险_18项、具体包括“能耗、主要耗能设备能效水平不满足法律法规和政策要求、现有的设备如果比较落后，造成耗能高、如果现有的能源计量管理制度不完善，能源计量器具管理不当，容易造成能源消耗数据不准确，能源考核数据失真，给整体能源管理工作带来较大困扰险”等；</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相应的控制措施为“避免风险、 承担风险、消除风险源、改变风险的可能性和后果、分担风险、延缓风险”等；</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通过应对措施将风险转换为机遇导致“采用新实践、推出新产品、开辟新市场、赢得新客户、建立合作伙伴关系、使用新技术以及能够解决组织或其顾客需求的其他有利可能性”等内容；</w:t>
            </w:r>
          </w:p>
          <w:p>
            <w:pP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措施评审结论“有效”、有责任部门和相关人员的评审和评价要求信息——查应对措施与其对产品和服务符合性的潜在影响基本相适应、文件有编审批、更新日期2021.1.15；</w:t>
            </w:r>
          </w:p>
        </w:tc>
        <w:tc>
          <w:tcPr>
            <w:tcW w:w="0" w:type="auto"/>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目标能源指标方案</w:t>
            </w:r>
          </w:p>
        </w:tc>
        <w:tc>
          <w:tcPr>
            <w:tcW w:w="0" w:type="auto"/>
            <w:vAlign w:val="top"/>
          </w:tcPr>
          <w:p>
            <w:pP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6.2</w:t>
            </w:r>
          </w:p>
        </w:tc>
        <w:tc>
          <w:tcPr>
            <w:tcW w:w="0" w:type="auto"/>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公司</w:t>
            </w:r>
            <w:r>
              <w:rPr>
                <w:rFonts w:hint="eastAsia" w:asciiTheme="minorEastAsia" w:hAnsiTheme="minorEastAsia" w:eastAsiaTheme="minorEastAsia" w:cstheme="minorEastAsia"/>
                <w:sz w:val="24"/>
                <w:szCs w:val="24"/>
                <w:u w:val="single"/>
                <w:lang w:val="en-US" w:eastAsia="zh-CN"/>
              </w:rPr>
              <w:t>提出总目标“</w:t>
            </w:r>
            <w:r>
              <w:rPr>
                <w:rFonts w:hint="eastAsia" w:asciiTheme="minorEastAsia" w:hAnsiTheme="minorEastAsia" w:eastAsiaTheme="minorEastAsia" w:cstheme="minorEastAsia"/>
                <w:sz w:val="24"/>
                <w:szCs w:val="24"/>
                <w:lang w:val="en-US" w:eastAsia="zh-CN"/>
              </w:rPr>
              <w:t>产能及节能最大化”、目</w:t>
            </w:r>
            <w:r>
              <w:rPr>
                <w:rFonts w:hint="eastAsia" w:asciiTheme="minorEastAsia" w:hAnsiTheme="minorEastAsia" w:eastAsiaTheme="minorEastAsia" w:cstheme="minorEastAsia"/>
                <w:sz w:val="24"/>
                <w:szCs w:val="24"/>
                <w:u w:val="single"/>
                <w:lang w:val="en-US" w:eastAsia="zh-CN"/>
              </w:rPr>
              <w:t>标分解的厂级标准</w:t>
            </w:r>
            <w:r>
              <w:rPr>
                <w:rFonts w:hint="eastAsia" w:asciiTheme="minorEastAsia" w:hAnsiTheme="minorEastAsia" w:eastAsiaTheme="minorEastAsia" w:cstheme="minorEastAsia"/>
                <w:sz w:val="24"/>
                <w:szCs w:val="24"/>
                <w:lang w:val="en-US" w:eastAsia="zh-CN"/>
              </w:rPr>
              <w:t>是：</w:t>
            </w:r>
            <w:r>
              <w:rPr>
                <w:rFonts w:hint="eastAsia" w:asciiTheme="minorEastAsia" w:hAnsiTheme="minorEastAsia" w:eastAsiaTheme="minorEastAsia" w:cstheme="minorEastAsia"/>
                <w:b/>
                <w:bCs/>
                <w:sz w:val="24"/>
                <w:szCs w:val="24"/>
                <w:lang w:val="en-US" w:eastAsia="zh-CN"/>
              </w:rPr>
              <w:t>（辅助附属部门同公司总目</w:t>
            </w:r>
            <w:r>
              <w:rPr>
                <w:rFonts w:hint="eastAsia" w:asciiTheme="minorEastAsia" w:hAnsiTheme="minorEastAsia" w:eastAsiaTheme="minorEastAsia" w:cstheme="minorEastAsia"/>
                <w:sz w:val="24"/>
                <w:szCs w:val="24"/>
                <w:lang w:val="en-US" w:eastAsia="zh-CN"/>
              </w:rPr>
              <w:t>标）</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1、采矿单位产品综合能耗：0.88kgce/t、</w:t>
            </w:r>
          </w:p>
          <w:p>
            <w:pPr>
              <w:numPr>
                <w:ilvl w:val="0"/>
                <w:numId w:val="1"/>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选矿单位产品综合能耗：3.58kgce/t；</w:t>
            </w:r>
          </w:p>
          <w:p>
            <w:pPr>
              <w:numPr>
                <w:ilvl w:val="0"/>
                <w:numId w:val="1"/>
              </w:numPr>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铜冶炼单位产品综合能耗276.65kgce/t”；</w:t>
            </w:r>
          </w:p>
          <w:p>
            <w:pPr>
              <w:pStyle w:val="7"/>
              <w:numPr>
                <w:ilvl w:val="0"/>
                <w:numId w:val="0"/>
              </w:numPr>
              <w:ind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由能源推进部门会同生产运营部能源科统筹规划能源管理方案、管理层对管理方案进行监督检查和验证、各部门在管理评审会上汇报一年来目标指标实现情况、管评输出包括公司总目标实现情况的总结及对2021年总目标的确定；</w:t>
            </w:r>
          </w:p>
        </w:tc>
        <w:tc>
          <w:tcPr>
            <w:tcW w:w="0" w:type="auto"/>
            <w:vAlign w:val="top"/>
          </w:tcPr>
          <w:p>
            <w:pPr>
              <w:rPr>
                <w:rFonts w:hint="default" w:ascii="宋体" w:hAnsi="宋体" w:eastAsia="宋体" w:cs="宋体"/>
                <w:kern w:val="2"/>
                <w:sz w:val="24"/>
                <w:szCs w:val="24"/>
                <w:lang w:val="en-US" w:eastAsia="zh-CN" w:bidi="ar-SA"/>
              </w:rPr>
            </w:pPr>
            <w:r>
              <w:rPr>
                <w:rFonts w:hint="eastAsia" w:ascii="宋体" w:hAnsi="宋体" w:cs="宋体"/>
                <w:color w:val="FF0000"/>
                <w:kern w:val="2"/>
                <w:sz w:val="24"/>
                <w:szCs w:val="24"/>
                <w:lang w:val="en-US" w:eastAsia="zh-CN" w:bidi="ar-SA"/>
              </w:rPr>
              <w:t xml:space="preserve">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资源</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7.1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kern w:val="2"/>
                <w:sz w:val="24"/>
                <w:szCs w:val="24"/>
                <w:lang w:val="en-US" w:eastAsia="zh-CN" w:bidi="ar-SA"/>
              </w:rPr>
            </w:pP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u w:val="single"/>
                <w:lang w:val="en-US" w:eastAsia="zh-CN"/>
              </w:rPr>
              <w:t>现有资源</w:t>
            </w:r>
            <w:r>
              <w:rPr>
                <w:rFonts w:hint="eastAsia" w:ascii="宋体" w:hAnsi="宋体" w:eastAsia="宋体" w:cs="宋体"/>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生产设备设施包括破碎机熔炼炉等、人员包括中高级技术人员和生产操作人员及办公室行政人员、知识</w:t>
            </w:r>
            <w:r>
              <w:rPr>
                <w:rFonts w:hint="eastAsia" w:ascii="宋体" w:hAnsi="宋体" w:eastAsia="宋体" w:cs="宋体"/>
                <w:b w:val="0"/>
                <w:bCs w:val="0"/>
                <w:color w:val="auto"/>
                <w:sz w:val="24"/>
                <w:szCs w:val="24"/>
                <w:lang w:eastAsia="zh-CN"/>
              </w:rPr>
              <w:t>“</w:t>
            </w:r>
            <w:r>
              <w:rPr>
                <w:rFonts w:hint="eastAsia" w:ascii="宋体" w:hAnsi="宋体" w:cs="宋体"/>
                <w:b w:val="0"/>
                <w:bCs w:val="0"/>
                <w:color w:val="auto"/>
                <w:sz w:val="24"/>
                <w:szCs w:val="24"/>
                <w:lang w:val="en-US" w:eastAsia="zh-CN"/>
              </w:rPr>
              <w:t>冶炼</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浇筑</w:t>
            </w:r>
            <w:r>
              <w:rPr>
                <w:rFonts w:hint="eastAsia" w:ascii="宋体" w:hAnsi="宋体" w:eastAsia="宋体" w:cs="宋体"/>
                <w:b w:val="0"/>
                <w:bCs w:val="0"/>
                <w:color w:val="auto"/>
                <w:sz w:val="24"/>
                <w:szCs w:val="24"/>
                <w:lang w:val="en-US" w:eastAsia="zh-CN"/>
              </w:rPr>
              <w:t>技术</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受限情况描述：</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无</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组织目前</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rPr>
              <w:t>能力</w:t>
            </w:r>
            <w:r>
              <w:rPr>
                <w:rFonts w:hint="eastAsia" w:ascii="宋体" w:hAnsi="宋体" w:eastAsia="宋体" w:cs="宋体"/>
                <w:b w:val="0"/>
                <w:bCs w:val="0"/>
                <w:color w:val="auto"/>
                <w:sz w:val="24"/>
                <w:szCs w:val="24"/>
                <w:lang w:val="en-US" w:eastAsia="zh-CN"/>
              </w:rPr>
              <w:t>水平状况</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包括</w:t>
            </w:r>
            <w:r>
              <w:rPr>
                <w:rFonts w:hint="eastAsia" w:ascii="宋体" w:hAnsi="宋体" w:eastAsia="宋体" w:cs="宋体"/>
                <w:b w:val="0"/>
                <w:bCs w:val="0"/>
                <w:color w:val="auto"/>
                <w:sz w:val="24"/>
                <w:szCs w:val="24"/>
              </w:rPr>
              <w:t>现有材料，人力资源及其能力，机械设备，信息和设施</w:t>
            </w:r>
            <w:r>
              <w:rPr>
                <w:rFonts w:hint="eastAsia" w:ascii="宋体" w:hAnsi="宋体" w:eastAsia="宋体" w:cs="宋体"/>
                <w:b w:val="0"/>
                <w:bCs w:val="0"/>
                <w:color w:val="auto"/>
                <w:sz w:val="24"/>
                <w:szCs w:val="24"/>
                <w:lang w:val="en-US" w:eastAsia="zh-CN"/>
              </w:rPr>
              <w:t>等情况的评审情况</w:t>
            </w:r>
            <w:r>
              <w:rPr>
                <w:rFonts w:hint="eastAsia" w:ascii="宋体" w:hAnsi="宋体" w:eastAsia="宋体" w:cs="宋体"/>
                <w:b w:val="0"/>
                <w:bCs w:val="0"/>
                <w:color w:val="auto"/>
                <w:sz w:val="24"/>
                <w:szCs w:val="24"/>
                <w:lang w:eastAsia="zh-CN"/>
              </w:rPr>
              <w:t>“</w:t>
            </w:r>
            <w:r>
              <w:rPr>
                <w:rFonts w:hint="eastAsia" w:ascii="宋体" w:hAnsi="宋体" w:cs="宋体"/>
                <w:b w:val="0"/>
                <w:bCs w:val="0"/>
                <w:color w:val="auto"/>
                <w:sz w:val="24"/>
                <w:szCs w:val="24"/>
                <w:lang w:val="en-US" w:eastAsia="zh-CN"/>
              </w:rPr>
              <w:t>基本满足要求</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w:t>
            </w:r>
          </w:p>
        </w:tc>
        <w:tc>
          <w:tcPr>
            <w:tcW w:w="0" w:type="auto"/>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lang w:val="en-US" w:eastAsia="zh-CN"/>
              </w:rPr>
              <w:t>管理评审</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kern w:val="2"/>
                <w:sz w:val="24"/>
                <w:szCs w:val="24"/>
                <w:lang w:val="en-US" w:eastAsia="zh-CN" w:bidi="ar-SA"/>
              </w:rPr>
            </w:pP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委派相关部门编制了《能源管理制度》和节能管理办法等；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lang w:val="en-US" w:eastAsia="zh-CN"/>
              </w:rPr>
            </w:pPr>
            <w:r>
              <w:rPr>
                <w:rFonts w:hint="eastAsia" w:ascii="宋体" w:hAnsi="宋体" w:eastAsia="宋体" w:cs="宋体"/>
                <w:color w:val="auto"/>
                <w:sz w:val="24"/>
                <w:szCs w:val="24"/>
                <w:lang w:val="en-US" w:eastAsia="zh-CN"/>
              </w:rPr>
              <w:t>任命能源小组对组织能源消耗使用的全过程进行管理、听取相关汇</w:t>
            </w:r>
            <w:r>
              <w:rPr>
                <w:rFonts w:hint="eastAsia" w:ascii="宋体" w:hAnsi="宋体" w:cs="宋体"/>
                <w:b w:val="0"/>
                <w:bCs w:val="0"/>
                <w:color w:val="auto"/>
                <w:sz w:val="24"/>
                <w:szCs w:val="24"/>
                <w:lang w:val="en-US" w:eastAsia="zh-CN"/>
              </w:rPr>
              <w:t>报、指示节能计划的执行等；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管理评审计划》评审目的“评价能源管理体系符合性、适宜性和有效性，力求公司持续改进”、管评内容包括“方针适用性和贯彻性、目标指标实现、合规性、文件适宜性、结合内审第三方审核的问题及解决”等9项、会议主持人林德发；</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提供了《（管理评审）会议签到表》包括林德发张辉魏如庆喻开军李耀宏李如云等18人签到信息；202</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.25；</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提供“管理评审会议记录”包括“总经理强调了管理评审目的：评价能源管理体系的有效性、适宜性、充分性，及能源管理体系评价”等内容； </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提供各部门汇报材料5份、查覆盖了公司的能源相关部门；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管理评审报告》包括时间地点目的内容参评人议程等信息——查符合策划的安排（管评计划）、报告内容“内审结果、能源管理体系运行适宜有效符合性、能源方针目标指标的适宜性和完成情况、能源管理水平、文件管理和能源意识方面 的提高程度、重点用能设备运行效率综合能耗节能量”等项；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管评结论“本公司的能源管理体系基本是适宜的、充分的、有效的，节能的持续改进等”——查内容基本符合标准的要求；</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lang w:val="en-US" w:eastAsia="zh-CN"/>
              </w:rPr>
              <w:t>报告批准人林德发；</w:t>
            </w:r>
          </w:p>
        </w:tc>
        <w:tc>
          <w:tcPr>
            <w:tcW w:w="0" w:type="auto"/>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不符合和纠正措施</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10.1</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kern w:val="2"/>
                <w:sz w:val="24"/>
                <w:szCs w:val="24"/>
                <w:lang w:val="en-US" w:eastAsia="zh-CN" w:bidi="ar-SA"/>
              </w:rPr>
            </w:pP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cs="宋体"/>
                <w:color w:val="auto"/>
                <w:sz w:val="24"/>
                <w:szCs w:val="24"/>
                <w:lang w:val="en-US" w:eastAsia="zh-CN"/>
              </w:rPr>
            </w:pPr>
            <w:r>
              <w:rPr>
                <w:rFonts w:hint="eastAsia" w:ascii="宋体" w:hAnsi="宋体" w:eastAsia="宋体" w:cs="宋体"/>
                <w:sz w:val="24"/>
                <w:szCs w:val="24"/>
                <w:lang w:val="en-US" w:eastAsia="zh-CN"/>
              </w:rPr>
              <w:t>编</w:t>
            </w:r>
            <w:r>
              <w:rPr>
                <w:rFonts w:hint="eastAsia" w:ascii="宋体" w:hAnsi="宋体" w:eastAsia="宋体" w:cs="宋体"/>
                <w:color w:val="auto"/>
                <w:sz w:val="24"/>
                <w:szCs w:val="24"/>
                <w:lang w:val="en-US" w:eastAsia="zh-CN"/>
              </w:rPr>
              <w:t>制了《纠正措施和预防措施通知单》包括“不符合采取措施控制并纠正；任何纠正措施的结果</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不符合的原因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性质和采取的任何后续措施；确定是否存在或是否可能发生类似的不符合；实施任何所需的措施；评审所采取的任何纠正措施的有效性；必要时，对能源管理体系进行变更改</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等内容；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查内审无不符合项；</w:t>
            </w:r>
          </w:p>
        </w:tc>
        <w:tc>
          <w:tcPr>
            <w:tcW w:w="0" w:type="auto"/>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持续改进</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通过对管理评审的审核、确定了组织的能源管理体系的适宜性、充分性和有效性——基本满足标准的要求，组织的持续改进绩效明显；</w:t>
            </w:r>
          </w:p>
        </w:tc>
        <w:tc>
          <w:tcPr>
            <w:tcW w:w="0" w:type="auto"/>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国家/地方监督抽查情况；</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顾客满意、相关方投诉及处理情况；</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验证企业相关资质证明的有效性；</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国家及地方政府监管部门经常检查、结果基本符合相关要求（存在一些职业健康安全问题）；</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组织电力等能源供应由攀枝花电网直接拉线、对本地电网无干扰（本地电力供应不足）、因此无相关方投诉情况；</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查组织营业执照和生产许可证有效符合规定；</w:t>
            </w:r>
          </w:p>
        </w:tc>
        <w:tc>
          <w:tcPr>
            <w:tcW w:w="0" w:type="auto"/>
            <w:vAlign w:val="top"/>
          </w:tcPr>
          <w:p>
            <w:pPr>
              <w:rPr>
                <w:rFonts w:hint="eastAsia" w:ascii="宋体" w:hAnsi="宋体" w:eastAsia="宋体" w:cs="宋体"/>
                <w:kern w:val="2"/>
                <w:sz w:val="24"/>
                <w:szCs w:val="24"/>
                <w:lang w:val="en-US" w:eastAsia="zh-CN" w:bidi="ar-SA"/>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E4027B"/>
    <w:multiLevelType w:val="singleLevel"/>
    <w:tmpl w:val="C2E4027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C7EAD"/>
    <w:rsid w:val="1F3C37B4"/>
    <w:rsid w:val="31955A09"/>
    <w:rsid w:val="484F3069"/>
    <w:rsid w:val="546E1833"/>
    <w:rsid w:val="792908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line="360" w:lineRule="auto"/>
      <w:ind w:firstLine="200" w:firstLineChars="200"/>
      <w:outlineLvl w:val="1"/>
    </w:pPr>
    <w:rPr>
      <w:rFonts w:ascii="Cambria" w:hAnsi="Cambria" w:eastAsia="宋体" w:cs="Times New Roman"/>
      <w:b/>
      <w:bCs/>
      <w:sz w:val="24"/>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unhideWhenUsed/>
    <w:qFormat/>
    <w:uiPriority w:val="99"/>
    <w:pPr>
      <w:ind w:firstLine="420" w:firstLineChars="100"/>
    </w:p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uiPriority w:val="99"/>
    <w:rPr>
      <w:rFonts w:ascii="Times New Roman" w:hAnsi="Times New Roman" w:eastAsia="宋体" w:cs="Times New Roman"/>
      <w:sz w:val="18"/>
      <w:szCs w:val="18"/>
    </w:rPr>
  </w:style>
  <w:style w:type="character" w:customStyle="1" w:styleId="12">
    <w:name w:val="页脚 Char"/>
    <w:basedOn w:val="10"/>
    <w:link w:val="5"/>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cp:lastModifiedBy>
  <dcterms:modified xsi:type="dcterms:W3CDTF">2021-04-24T05:21:45Z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