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受审核部门：</w:t>
            </w:r>
            <w:r>
              <w:rPr>
                <w:rFonts w:hint="eastAsia" w:ascii="Times New Roman" w:hAnsi="Times New Roman" w:eastAsia="宋体" w:cs="Times New Roman"/>
                <w:sz w:val="24"/>
                <w:szCs w:val="24"/>
                <w:lang w:val="en-US" w:eastAsia="zh-CN"/>
              </w:rPr>
              <w:t xml:space="preserve">综合部           </w:t>
            </w:r>
            <w:r>
              <w:rPr>
                <w:rFonts w:hint="eastAsia" w:ascii="Times New Roman" w:hAnsi="Times New Roman" w:eastAsia="宋体" w:cs="Times New Roman"/>
                <w:sz w:val="24"/>
                <w:szCs w:val="24"/>
              </w:rPr>
              <w:t>主管领导：</w:t>
            </w:r>
            <w:r>
              <w:rPr>
                <w:rFonts w:hint="eastAsia" w:ascii="Times New Roman" w:hAnsi="Times New Roman" w:eastAsia="宋体" w:cs="Times New Roman"/>
                <w:sz w:val="24"/>
                <w:szCs w:val="24"/>
              </w:rPr>
              <w:t>贺春锋</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陪同人员：李鹏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审核员：</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lang w:val="en-US" w:eastAsia="zh-CN"/>
              </w:rPr>
              <w:t xml:space="preserve">姜小清              </w:t>
            </w:r>
            <w:r>
              <w:rPr>
                <w:rFonts w:hint="eastAsia" w:ascii="Times New Roman" w:hAnsi="Times New Roman" w:eastAsia="宋体" w:cs="Times New Roman"/>
                <w:sz w:val="24"/>
                <w:szCs w:val="24"/>
              </w:rPr>
              <w:t>审核时</w:t>
            </w:r>
            <w:r>
              <w:rPr>
                <w:rFonts w:hint="eastAsia" w:asciiTheme="minorEastAsia" w:hAnsiTheme="minorEastAsia" w:eastAsiaTheme="minorEastAsia" w:cstheme="minorEastAsia"/>
                <w:sz w:val="24"/>
                <w:szCs w:val="24"/>
              </w:rPr>
              <w:t>间：</w:t>
            </w:r>
            <w:r>
              <w:rPr>
                <w:rFonts w:hint="eastAsia" w:asciiTheme="minorEastAsia" w:hAnsiTheme="minorEastAsia" w:eastAsiaTheme="minorEastAsia" w:cstheme="minorEastAsia"/>
                <w:sz w:val="24"/>
                <w:szCs w:val="24"/>
                <w:lang w:val="en-US" w:eastAsia="zh-CN"/>
              </w:rPr>
              <w:t>2021.4.22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320" w:lineRule="exact"/>
              <w:jc w:val="both"/>
              <w:rPr>
                <w:rFonts w:hint="eastAsia"/>
                <w:lang w:val="en-US" w:eastAsia="zh-CN"/>
              </w:rPr>
            </w:pPr>
            <w:r>
              <w:rPr>
                <w:rFonts w:hint="eastAsia"/>
              </w:rPr>
              <w:t>审核条款：</w:t>
            </w:r>
            <w:r>
              <w:rPr>
                <w:rFonts w:hint="eastAsia"/>
                <w:lang w:val="en-US" w:eastAsia="zh-CN"/>
              </w:rPr>
              <w:t xml:space="preserve"> 职责和权限、目标指标方案、沟通、成文信息、内审、不符合及纠正措施</w:t>
            </w:r>
          </w:p>
          <w:p>
            <w:pPr>
              <w:snapToGrid w:val="0"/>
              <w:spacing w:line="320" w:lineRule="exact"/>
              <w:jc w:val="both"/>
            </w:pPr>
            <w:r>
              <w:rPr>
                <w:rFonts w:hint="eastAsia"/>
                <w:lang w:val="en-US" w:eastAsia="zh-CN"/>
              </w:rPr>
              <w:t>5.3/6.2/7.4/7.5/9.1.1/9.2/10.1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rPr>
                <w:rFonts w:ascii="Times New Roman" w:hAnsi="Times New Roman" w:eastAsia="宋体" w:cs="Times New Roman"/>
                <w:kern w:val="2"/>
                <w:sz w:val="21"/>
                <w:lang w:val="en-US" w:eastAsia="zh-CN" w:bidi="ar-SA"/>
              </w:rPr>
            </w:pP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5.3 </w:t>
            </w:r>
          </w:p>
          <w:p>
            <w:pPr>
              <w:rPr>
                <w:rFonts w:hint="eastAsia" w:ascii="宋体" w:hAnsi="宋体" w:eastAsia="宋体" w:cs="宋体"/>
                <w:b w:val="0"/>
                <w:bCs w:val="0"/>
                <w:color w:val="auto"/>
                <w:kern w:val="2"/>
                <w:sz w:val="24"/>
                <w:szCs w:val="24"/>
                <w:u w:val="none"/>
                <w:lang w:val="en-US" w:eastAsia="zh-CN" w:bidi="ar-SA"/>
              </w:rPr>
            </w:pPr>
          </w:p>
        </w:tc>
        <w:tc>
          <w:tcPr>
            <w:tcW w:w="10004" w:type="dxa"/>
            <w:vAlign w:val="top"/>
          </w:tcPr>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能源</w:t>
            </w:r>
            <w:r>
              <w:rPr>
                <w:rFonts w:hint="eastAsia" w:ascii="宋体" w:hAnsi="宋体" w:eastAsia="宋体" w:cs="宋体"/>
                <w:b w:val="0"/>
                <w:bCs w:val="0"/>
                <w:color w:val="auto"/>
                <w:sz w:val="24"/>
                <w:szCs w:val="24"/>
                <w:u w:val="single"/>
                <w:lang w:val="en-US" w:eastAsia="zh-CN"/>
              </w:rPr>
              <w:t>岗位人员和岗位设</w:t>
            </w:r>
            <w:r>
              <w:rPr>
                <w:rFonts w:hint="eastAsia" w:ascii="宋体" w:hAnsi="宋体" w:eastAsia="宋体" w:cs="宋体"/>
                <w:b w:val="0"/>
                <w:bCs w:val="0"/>
                <w:color w:val="auto"/>
                <w:sz w:val="24"/>
                <w:szCs w:val="24"/>
                <w:lang w:val="en-US" w:eastAsia="zh-CN"/>
              </w:rPr>
              <w:t>置：</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部门共10</w:t>
            </w:r>
            <w:r>
              <w:rPr>
                <w:rFonts w:hint="eastAsia" w:ascii="宋体" w:hAnsi="宋体" w:eastAsia="宋体" w:cs="宋体"/>
                <w:b w:val="0"/>
                <w:bCs w:val="0"/>
                <w:color w:val="auto"/>
                <w:sz w:val="24"/>
                <w:szCs w:val="24"/>
                <w:lang w:val="en-US" w:eastAsia="zh-CN"/>
              </w:rPr>
              <w:t>人、其中正副部长1</w:t>
            </w:r>
            <w:r>
              <w:rPr>
                <w:rFonts w:hint="eastAsia" w:ascii="宋体" w:hAnsi="宋体" w:eastAsia="宋体" w:cs="宋体"/>
                <w:b w:val="0"/>
                <w:bCs w:val="0"/>
                <w:color w:val="auto"/>
                <w:sz w:val="24"/>
                <w:szCs w:val="24"/>
                <w:lang w:val="en-US" w:eastAsia="zh-CN"/>
              </w:rPr>
              <w:t>名、其他文员职员；</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主要工</w:t>
            </w:r>
            <w:r>
              <w:rPr>
                <w:rFonts w:hint="eastAsia" w:ascii="宋体" w:hAnsi="宋体" w:eastAsia="宋体" w:cs="宋体"/>
                <w:b w:val="0"/>
                <w:bCs w:val="0"/>
                <w:color w:val="auto"/>
                <w:sz w:val="24"/>
                <w:szCs w:val="24"/>
                <w:u w:val="single"/>
                <w:lang w:val="en-US" w:eastAsia="zh-CN"/>
              </w:rPr>
              <w:t>作内容和职责权</w:t>
            </w:r>
            <w:r>
              <w:rPr>
                <w:rFonts w:hint="eastAsia" w:ascii="宋体" w:hAnsi="宋体" w:eastAsia="宋体" w:cs="宋体"/>
                <w:b w:val="0"/>
                <w:bCs w:val="0"/>
                <w:color w:val="auto"/>
                <w:sz w:val="24"/>
                <w:szCs w:val="24"/>
                <w:lang w:val="en-US" w:eastAsia="zh-CN"/>
              </w:rPr>
              <w:t>限：</w:t>
            </w:r>
          </w:p>
          <w:p>
            <w:pPr>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负责贯彻落实国家发布的节能方针、政策、法律、法规、标准及规定，编制实施公司节能规划及年度计划。负责能源管理体系培训计划的编制、落实和检查；确保能源管理人员和主要耗能设备操作人员培训达标。负责公司的能源统计和上报工作。负责能源管理内外部信息的交流及外来文件的接收、传递、控制等工作。制定内审计划和方案，参与能源管理体系管理评审，确保体系的正常运行。能源管理体系的文件归口管理部门，负责编制及发布能源管理手册及相关文件。负责公司文件的制定、完善和管理文件的接收、发放、销毁等控制工作。负责监督、督促、维护、监控公司能源管理体系的运行情况；每月对各部门管理目标完成情况进行能源绩效考核。根据本公司能源管理体系运行的需要，建立和调整公司结构，规定各部门的职责和权限，建立通畅的内部沟通渠道。会同有关部门搞好节能宣传教育工作，提高广大员工的节能意识。搜集、存档能源管理方面的法律法规文件，并定期评价对适用法律法规和其他要求的遵守情况。收集、整理节能新技术、新设备及新能源和再生能源有效利用方面的信息。</w:t>
            </w:r>
          </w:p>
        </w:tc>
        <w:tc>
          <w:tcPr>
            <w:tcW w:w="1585" w:type="dxa"/>
            <w:vAlign w:val="top"/>
          </w:tcPr>
          <w:p>
            <w:pPr>
              <w:rPr>
                <w:rFonts w:ascii="Times New Roman" w:hAnsi="Times New Roman" w:eastAsia="宋体" w:cs="Times New Roman"/>
                <w:kern w:val="2"/>
                <w:sz w:val="21"/>
                <w:lang w:val="en-US" w:eastAsia="zh-CN" w:bidi="ar-SA"/>
              </w:rPr>
            </w:pPr>
            <w:r>
              <w:rPr>
                <w:rFonts w:hint="eastAsia" w:ascii="宋体" w:hAnsi="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 xml:space="preserve"> </w:t>
            </w: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 xml:space="preserve"> </w:t>
            </w:r>
          </w:p>
        </w:tc>
        <w:tc>
          <w:tcPr>
            <w:tcW w:w="10004"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编制了文件化的《目标、能源指标</w:t>
            </w:r>
            <w:r>
              <w:rPr>
                <w:rFonts w:hint="eastAsia" w:ascii="宋体" w:hAnsi="宋体" w:cs="宋体"/>
                <w:color w:val="auto"/>
                <w:sz w:val="24"/>
                <w:szCs w:val="24"/>
                <w:lang w:val="en-US" w:eastAsia="zh-CN"/>
              </w:rPr>
              <w:t>及管理</w:t>
            </w:r>
            <w:r>
              <w:rPr>
                <w:rFonts w:hint="eastAsia" w:ascii="宋体" w:hAnsi="宋体" w:eastAsia="宋体" w:cs="宋体"/>
                <w:color w:val="auto"/>
                <w:sz w:val="24"/>
                <w:szCs w:val="24"/>
                <w:lang w:val="en-US" w:eastAsia="zh-CN"/>
              </w:rPr>
              <w:t>方案》；</w:t>
            </w:r>
          </w:p>
          <w:p>
            <w:pPr>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本部门</w:t>
            </w:r>
            <w:r>
              <w:rPr>
                <w:rFonts w:hint="eastAsia" w:ascii="宋体" w:hAnsi="宋体" w:cs="宋体"/>
                <w:color w:val="auto"/>
                <w:sz w:val="24"/>
                <w:szCs w:val="24"/>
                <w:lang w:val="en-US" w:eastAsia="zh-CN"/>
              </w:rPr>
              <w:t>执行公司总</w:t>
            </w:r>
            <w:r>
              <w:rPr>
                <w:rFonts w:hint="eastAsia" w:ascii="宋体" w:hAnsi="宋体" w:eastAsia="宋体" w:cs="宋体"/>
                <w:color w:val="auto"/>
                <w:sz w:val="24"/>
                <w:szCs w:val="24"/>
                <w:lang w:val="en-US" w:eastAsia="zh-CN"/>
              </w:rPr>
              <w:t>的能源目标</w:t>
            </w:r>
            <w:r>
              <w:rPr>
                <w:rFonts w:hint="eastAsia" w:ascii="宋体" w:hAnsi="宋体" w:cs="宋体"/>
                <w:color w:val="auto"/>
                <w:sz w:val="24"/>
                <w:szCs w:val="24"/>
                <w:lang w:val="en-US" w:eastAsia="zh-CN"/>
              </w:rPr>
              <w:t>、管理方案主要“日常节水节电、节省柴汽油”等；</w:t>
            </w:r>
          </w:p>
          <w:p>
            <w:pPr>
              <w:rPr>
                <w:rFonts w:hint="eastAsia" w:ascii="Times New Roman" w:hAnsi="Times New Roman" w:eastAsia="宋体" w:cs="Times New Roman"/>
                <w:kern w:val="2"/>
                <w:sz w:val="21"/>
                <w:lang w:val="en-US" w:eastAsia="zh-CN" w:bidi="ar-SA"/>
              </w:rPr>
            </w:pPr>
            <w:r>
              <w:rPr>
                <w:rFonts w:hint="eastAsia" w:ascii="宋体" w:hAnsi="宋体" w:cs="宋体"/>
                <w:color w:val="auto"/>
                <w:sz w:val="24"/>
                <w:szCs w:val="24"/>
                <w:lang w:val="en-US" w:eastAsia="zh-CN"/>
              </w:rPr>
              <w:t>提供“能源绩效考评信息表”——其中综合部2020年完成情况“达标”</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、符合规定；</w:t>
            </w:r>
          </w:p>
        </w:tc>
        <w:tc>
          <w:tcPr>
            <w:tcW w:w="1585" w:type="dxa"/>
            <w:vAlign w:val="top"/>
          </w:tcPr>
          <w:p>
            <w:pPr>
              <w:pStyle w:val="2"/>
              <w:ind w:left="0" w:leftChars="0" w:firstLine="0" w:firstLineChars="0"/>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left="0" w:leftChars="0" w:firstLine="0" w:firstLineChars="0"/>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沟通</w:t>
            </w:r>
          </w:p>
          <w:p>
            <w:pPr>
              <w:rPr>
                <w:rFonts w:hint="eastAsia" w:ascii="宋体" w:hAnsi="宋体" w:eastAsia="宋体" w:cs="宋体"/>
                <w:b w:val="0"/>
                <w:bCs w:val="0"/>
                <w:color w:val="auto"/>
                <w:kern w:val="2"/>
                <w:sz w:val="24"/>
                <w:szCs w:val="24"/>
                <w:lang w:val="en-US" w:eastAsia="zh-CN" w:bidi="ar-SA"/>
              </w:rPr>
            </w:pPr>
          </w:p>
        </w:tc>
        <w:tc>
          <w:tcPr>
            <w:tcW w:w="9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7.4</w:t>
            </w:r>
          </w:p>
          <w:p>
            <w:pPr>
              <w:rPr>
                <w:rFonts w:hint="eastAsia" w:ascii="宋体" w:hAnsi="宋体" w:eastAsia="宋体" w:cs="宋体"/>
                <w:b w:val="0"/>
                <w:bCs w:val="0"/>
                <w:color w:val="auto"/>
                <w:kern w:val="2"/>
                <w:sz w:val="24"/>
                <w:szCs w:val="24"/>
                <w:lang w:val="en-US" w:eastAsia="zh-CN" w:bidi="ar-SA"/>
              </w:rPr>
            </w:pPr>
          </w:p>
        </w:tc>
        <w:tc>
          <w:tcPr>
            <w:tcW w:w="10004" w:type="dxa"/>
            <w:vAlign w:val="top"/>
          </w:tcPr>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运行保障中心负责能源信息的传递</w:t>
            </w:r>
            <w:r>
              <w:rPr>
                <w:rFonts w:hint="eastAsia" w:ascii="宋体" w:hAnsi="宋体" w:eastAsia="宋体" w:cs="宋体"/>
                <w:sz w:val="24"/>
                <w:szCs w:val="24"/>
                <w:lang w:val="en-US" w:eastAsia="zh-CN"/>
              </w:rPr>
              <w:t>及</w:t>
            </w:r>
            <w:r>
              <w:rPr>
                <w:rFonts w:hint="eastAsia" w:ascii="宋体" w:hAnsi="宋体" w:eastAsia="宋体" w:cs="宋体"/>
                <w:sz w:val="24"/>
                <w:szCs w:val="24"/>
              </w:rPr>
              <w:t>交流；</w:t>
            </w:r>
            <w:r>
              <w:rPr>
                <w:rFonts w:hint="eastAsia" w:ascii="宋体" w:hAnsi="宋体" w:eastAsia="宋体" w:cs="宋体"/>
                <w:sz w:val="24"/>
                <w:szCs w:val="24"/>
                <w:lang w:val="en-US" w:eastAsia="zh-CN"/>
              </w:rPr>
              <w:t>通过</w:t>
            </w:r>
            <w:r>
              <w:rPr>
                <w:rFonts w:hint="eastAsia" w:ascii="宋体" w:hAnsi="宋体" w:eastAsia="宋体" w:cs="宋体"/>
                <w:sz w:val="24"/>
                <w:szCs w:val="24"/>
              </w:rPr>
              <w:t>建立实施和保持适当的信息交流沟通</w:t>
            </w:r>
            <w:r>
              <w:rPr>
                <w:rFonts w:hint="eastAsia" w:ascii="宋体" w:hAnsi="宋体" w:eastAsia="宋体" w:cs="宋体"/>
                <w:sz w:val="24"/>
                <w:szCs w:val="24"/>
                <w:lang w:eastAsia="zh-CN"/>
              </w:rPr>
              <w:t>、</w:t>
            </w:r>
            <w:r>
              <w:rPr>
                <w:rFonts w:hint="eastAsia" w:ascii="宋体" w:hAnsi="宋体" w:eastAsia="宋体" w:cs="宋体"/>
                <w:sz w:val="24"/>
                <w:szCs w:val="24"/>
              </w:rPr>
              <w:t>确保</w:t>
            </w:r>
            <w:r>
              <w:rPr>
                <w:rFonts w:hint="eastAsia" w:ascii="宋体" w:hAnsi="宋体" w:eastAsia="宋体" w:cs="宋体"/>
                <w:sz w:val="24"/>
                <w:szCs w:val="24"/>
                <w:lang w:val="en-US" w:eastAsia="zh-CN"/>
              </w:rPr>
              <w:t>了</w:t>
            </w:r>
            <w:r>
              <w:rPr>
                <w:rFonts w:hint="eastAsia" w:ascii="宋体" w:hAnsi="宋体" w:eastAsia="宋体" w:cs="宋体"/>
                <w:sz w:val="24"/>
                <w:szCs w:val="24"/>
              </w:rPr>
              <w:t>公司内部以及与外部相关方的联系和回应</w:t>
            </w:r>
            <w:r>
              <w:rPr>
                <w:rFonts w:hint="eastAsia" w:ascii="宋体" w:hAnsi="宋体" w:eastAsia="宋体" w:cs="宋体"/>
                <w:sz w:val="24"/>
                <w:szCs w:val="24"/>
                <w:lang w:eastAsia="zh-CN"/>
              </w:rPr>
              <w:t>、</w:t>
            </w:r>
            <w:r>
              <w:rPr>
                <w:rFonts w:hint="eastAsia" w:ascii="宋体" w:hAnsi="宋体" w:eastAsia="宋体" w:cs="宋体"/>
                <w:sz w:val="24"/>
                <w:szCs w:val="24"/>
              </w:rPr>
              <w:t>保证能源管理体系的有效运行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内部信息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法律法规、标准及其他要求、目标、指标及管理方案的实施、能源基准及能源绩效参数、体系运行的监测结果、内审和管理评审的结果，由运行保障中心传达到各部门；</w:t>
            </w:r>
            <w:r>
              <w:rPr>
                <w:rFonts w:hint="eastAsia" w:ascii="宋体" w:hAnsi="宋体" w:eastAsia="宋体" w:cs="宋体"/>
                <w:sz w:val="24"/>
                <w:szCs w:val="24"/>
                <w:lang w:val="en-US" w:eastAsia="zh-CN"/>
              </w:rPr>
              <w:t xml:space="preserve"> </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另内部能源体系宣传教育包括：节能形势政策；节约能源带来的社会和经济效益；交流节能技术；节能知识竞赛；组建节能小组；征集合理化建议；评选节能先进</w:t>
            </w:r>
            <w:r>
              <w:rPr>
                <w:rFonts w:hint="eastAsia" w:ascii="宋体" w:hAnsi="宋体" w:eastAsia="宋体" w:cs="宋体"/>
                <w:sz w:val="24"/>
                <w:szCs w:val="24"/>
                <w:lang w:val="en-US" w:eastAsia="zh-CN"/>
              </w:rPr>
              <w:t>；</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u w:val="single"/>
              </w:rPr>
              <w:t>外部信息</w:t>
            </w:r>
            <w:r>
              <w:rPr>
                <w:rFonts w:hint="eastAsia" w:ascii="宋体" w:hAnsi="宋体" w:eastAsia="宋体" w:cs="宋体"/>
                <w:sz w:val="24"/>
                <w:szCs w:val="24"/>
                <w:u w:val="single"/>
                <w:lang w:val="en-US" w:eastAsia="zh-CN"/>
              </w:rPr>
              <w:t>交</w:t>
            </w:r>
            <w:r>
              <w:rPr>
                <w:rFonts w:hint="eastAsia" w:ascii="宋体" w:hAnsi="宋体" w:eastAsia="宋体" w:cs="宋体"/>
                <w:sz w:val="24"/>
                <w:szCs w:val="24"/>
                <w:lang w:val="en-US" w:eastAsia="zh-CN"/>
              </w:rPr>
              <w:t>流：</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rPr>
              <w:t>从相关方收集</w:t>
            </w:r>
            <w:r>
              <w:rPr>
                <w:rFonts w:hint="eastAsia" w:ascii="宋体" w:hAnsi="宋体" w:eastAsia="宋体" w:cs="宋体"/>
                <w:sz w:val="24"/>
                <w:szCs w:val="24"/>
                <w:lang w:val="en-US" w:eastAsia="zh-CN"/>
              </w:rPr>
              <w:t>、接收的能源供应信息及时传递给相关方；上级部门或相关方需要公司能源信息</w:t>
            </w:r>
            <w:r>
              <w:rPr>
                <w:rFonts w:hint="eastAsia" w:ascii="宋体" w:hAnsi="宋体" w:cs="宋体"/>
                <w:sz w:val="24"/>
                <w:szCs w:val="24"/>
                <w:lang w:val="en-US" w:eastAsia="zh-CN"/>
              </w:rPr>
              <w:t>；</w:t>
            </w:r>
          </w:p>
          <w:p>
            <w:pPr>
              <w:numPr>
                <w:ilvl w:val="0"/>
                <w:numId w:val="0"/>
              </w:numPr>
              <w:ind w:leftChars="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方式：</w:t>
            </w:r>
          </w:p>
          <w:p>
            <w:pPr>
              <w:numPr>
                <w:ilvl w:val="0"/>
                <w:numId w:val="0"/>
              </w:numPr>
              <w:ind w:left="0" w:leftChars="0" w:firstLine="0" w:firstLineChars="0"/>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会议、公告栏、简报、意见箱、微信群等；</w:t>
            </w:r>
          </w:p>
        </w:tc>
        <w:tc>
          <w:tcPr>
            <w:tcW w:w="1585" w:type="dxa"/>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numPr>
                <w:ilvl w:val="0"/>
                <w:numId w:val="0"/>
              </w:numPr>
              <w:ind w:left="0" w:leftChars="0" w:firstLine="0" w:firstLineChars="0"/>
              <w:rPr>
                <w:rFonts w:ascii="Times New Roman" w:hAnsi="Times New Roman" w:eastAsia="宋体" w:cs="Times New Roman"/>
                <w:kern w:val="2"/>
                <w:sz w:val="21"/>
                <w:lang w:val="en-US" w:eastAsia="zh-CN" w:bidi="ar-SA"/>
              </w:rPr>
            </w:pPr>
            <w:r>
              <w:rPr>
                <w:rFonts w:hint="eastAsia" w:ascii="宋体" w:hAnsi="宋体" w:eastAsia="宋体" w:cs="宋体"/>
                <w:b w:val="0"/>
                <w:bCs w:val="0"/>
                <w:color w:val="auto"/>
                <w:sz w:val="24"/>
                <w:szCs w:val="24"/>
                <w:u w:val="none"/>
                <w:lang w:val="en-US" w:eastAsia="zh-CN"/>
              </w:rPr>
              <w:t>文件化信息</w:t>
            </w:r>
          </w:p>
        </w:tc>
        <w:tc>
          <w:tcPr>
            <w:tcW w:w="0" w:type="auto"/>
            <w:vAlign w:val="top"/>
          </w:tcPr>
          <w:p>
            <w:pPr>
              <w:numPr>
                <w:ilvl w:val="0"/>
                <w:numId w:val="0"/>
              </w:numPr>
              <w:ind w:left="0" w:leftChars="0" w:firstLine="0" w:firstLineChars="0"/>
              <w:rPr>
                <w:rFonts w:ascii="Times New Roman" w:hAnsi="Times New Roman" w:eastAsia="宋体" w:cs="Times New Roman"/>
                <w:kern w:val="2"/>
                <w:sz w:val="21"/>
                <w:lang w:val="en-US" w:eastAsia="zh-CN" w:bidi="ar-SA"/>
              </w:rPr>
            </w:pPr>
            <w:r>
              <w:rPr>
                <w:rFonts w:hint="eastAsia" w:ascii="宋体" w:hAnsi="宋体" w:eastAsia="宋体" w:cs="宋体"/>
                <w:b w:val="0"/>
                <w:bCs w:val="0"/>
                <w:color w:val="auto"/>
                <w:sz w:val="24"/>
                <w:szCs w:val="24"/>
                <w:u w:val="none"/>
                <w:lang w:val="en-US" w:eastAsia="zh-CN"/>
              </w:rPr>
              <w:t xml:space="preserve">7.5 </w:t>
            </w:r>
          </w:p>
        </w:tc>
        <w:tc>
          <w:tcPr>
            <w:tcW w:w="0" w:type="auto"/>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公司对管理体系文件控制进行了策划，形成了文件化的管理手册、程序文件、三层次管理文件以及所要求的记录。</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公司编制的程序文件符合标准要求的所有程序文件，第三层次文件对体系及其相互关系在手册中做了描述，记录表单满足公司目前的管理体系运行的需要。</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公司文件分类：一级文件：管理手册。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二级文件：公司编制了程序文件，包括</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标准要求的所有程序。</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三层次文件：制度和作业指导书，外来文件：包括产品国家标准，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及运行记录，满足公司目前的管理体系运行的需要。体系文件基本能保证有效性和效率的要求。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查公司按照文审要求对管理手册进行了修改，符合要求。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公司编制并实施了《文件管理程序》，文件包括：手册、程序文件及产品生产过程质量检查考核标准、固废管理制度、安全教育管理制度等。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查管理手册、程序文件等文件，编制：办公室，批准：总经理，查文件编审批齐全、文件清晰符合文件控制程序基本要求。查管理部文件，为有效版本。</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查外来文件：与产品要求和质量、环境、职业健康安全</w:t>
            </w:r>
            <w:r>
              <w:rPr>
                <w:rFonts w:hint="eastAsia" w:ascii="宋体" w:hAnsi="宋体" w:cs="宋体"/>
                <w:color w:val="auto"/>
                <w:sz w:val="24"/>
                <w:szCs w:val="24"/>
                <w:lang w:val="en-US" w:eastAsia="zh-CN"/>
              </w:rPr>
              <w:t>及能源</w:t>
            </w:r>
            <w:r>
              <w:rPr>
                <w:rFonts w:hint="eastAsia" w:ascii="宋体" w:hAnsi="宋体" w:eastAsia="宋体" w:cs="宋体"/>
                <w:color w:val="auto"/>
                <w:sz w:val="24"/>
                <w:szCs w:val="24"/>
                <w:lang w:val="en-US" w:eastAsia="zh-CN"/>
              </w:rPr>
              <w:t>管理体系运行有关的国家法律法规、标准等；行业、地方颁布的条例、标准、规范、规程、办法等，查外来文件具体有</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体系标准等，如《中华人民共和国节约能源法》、《企业能源审计技术通则》、《GBT2589《综合能耗计算通则》》、《GBT 15587-2008 工业企业能源管理导则》、《GBT 13234-2009 企业节能量计算方法》等。</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查文件发放：</w:t>
            </w:r>
            <w:r>
              <w:rPr>
                <w:rFonts w:hint="eastAsia" w:ascii="宋体" w:hAnsi="宋体" w:cs="宋体"/>
                <w:color w:val="auto"/>
                <w:sz w:val="24"/>
                <w:szCs w:val="24"/>
                <w:lang w:val="en-US" w:eastAsia="zh-CN"/>
              </w:rPr>
              <w:t>综合办</w:t>
            </w:r>
            <w:r>
              <w:rPr>
                <w:rFonts w:hint="eastAsia" w:ascii="宋体" w:hAnsi="宋体" w:eastAsia="宋体" w:cs="宋体"/>
                <w:color w:val="auto"/>
                <w:sz w:val="24"/>
                <w:szCs w:val="24"/>
                <w:lang w:val="en-US" w:eastAsia="zh-CN"/>
              </w:rPr>
              <w:t>下发了</w:t>
            </w:r>
            <w:r>
              <w:rPr>
                <w:rFonts w:hint="eastAsia" w:ascii="宋体" w:hAnsi="宋体" w:cs="宋体"/>
                <w:color w:val="auto"/>
                <w:sz w:val="24"/>
                <w:szCs w:val="24"/>
                <w:lang w:val="en-US" w:eastAsia="zh-CN"/>
              </w:rPr>
              <w:t>能源</w:t>
            </w:r>
            <w:r>
              <w:rPr>
                <w:rFonts w:hint="eastAsia" w:ascii="宋体" w:hAnsi="宋体" w:eastAsia="宋体" w:cs="宋体"/>
                <w:color w:val="auto"/>
                <w:sz w:val="24"/>
                <w:szCs w:val="24"/>
                <w:lang w:val="en-US" w:eastAsia="zh-CN"/>
              </w:rPr>
              <w:t>管理手册、程序文件等文件。</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查管理部文件有标识，检索方便，文件夹存放于文件柜内，防护符合要求。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公司按《记录管理程序》实施对管理体系记录的标识、贮存、保护、检索、保存期限和处置等按规定实施。</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公司提供《记录清单》包括有内审报告、供方评价表、管理评审报告等记录。明确了记录名称、编号、使用保存部门、保存期限等，并经审核后使用。</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公司各种记录由各使用部门保存，查阅管理部保存的记录环境情况，归档文件、记录存放于文件柜内，环境干燥、通风，符合文件归档的要求。</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抽查归档文件整理情况，管理部已将文件进行了分类，按记录的名称、编号及时间装文件袋进行归档，记录清洁，字迹清晰，检索方便，抽查有内部审核资料、管理评审资料等，均已装订成册。</w:t>
            </w:r>
          </w:p>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提供了作废文件记录：有作废理由、作废日期及申请部门、审核人签字，目前无作废文件记录。</w:t>
            </w:r>
          </w:p>
          <w:p>
            <w:pPr>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文件记录控制基本有效。</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0" w:type="auto"/>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能源绩效和EnMS的监视、测量、分析和评价</w:t>
            </w:r>
          </w:p>
          <w:p>
            <w:pPr>
              <w:numPr>
                <w:ilvl w:val="0"/>
                <w:numId w:val="0"/>
              </w:numPr>
              <w:ind w:left="0" w:leftChars="0" w:firstLine="240" w:firstLineChars="100"/>
              <w:rPr>
                <w:rFonts w:hint="eastAsia" w:ascii="宋体" w:hAnsi="宋体" w:eastAsia="宋体" w:cs="宋体"/>
                <w:kern w:val="2"/>
                <w:sz w:val="24"/>
                <w:szCs w:val="24"/>
                <w:lang w:val="en-US" w:eastAsia="zh-CN" w:bidi="ar-SA"/>
              </w:rPr>
            </w:pPr>
          </w:p>
        </w:tc>
        <w:tc>
          <w:tcPr>
            <w:tcW w:w="0" w:type="auto"/>
            <w:vAlign w:val="top"/>
          </w:tcPr>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w:t>
            </w:r>
            <w:r>
              <w:rPr>
                <w:rFonts w:hint="eastAsia" w:ascii="宋体" w:hAnsi="宋体" w:cs="宋体"/>
                <w:sz w:val="24"/>
                <w:szCs w:val="24"/>
                <w:lang w:val="en-US" w:eastAsia="zh-CN"/>
              </w:rPr>
              <w:t>.1</w:t>
            </w:r>
          </w:p>
          <w:p>
            <w:pPr>
              <w:numPr>
                <w:ilvl w:val="0"/>
                <w:numId w:val="0"/>
              </w:numPr>
              <w:ind w:left="0" w:leftChars="0" w:firstLine="240" w:firstLineChars="100"/>
              <w:rPr>
                <w:rFonts w:hint="default" w:ascii="宋体" w:hAnsi="宋体" w:eastAsia="宋体" w:cs="宋体"/>
                <w:kern w:val="2"/>
                <w:sz w:val="24"/>
                <w:szCs w:val="24"/>
                <w:lang w:val="en-US" w:eastAsia="zh-CN" w:bidi="ar-SA"/>
              </w:rPr>
            </w:pPr>
          </w:p>
        </w:tc>
        <w:tc>
          <w:tcPr>
            <w:tcW w:w="0" w:type="auto"/>
            <w:vAlign w:val="top"/>
          </w:tcPr>
          <w:p>
            <w:pPr>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查《监视测量程序》规定的监测项目包括：</w:t>
            </w:r>
            <w:r>
              <w:rPr>
                <w:rFonts w:hint="eastAsia" w:ascii="宋体" w:hAnsi="宋体" w:eastAsia="宋体" w:cs="宋体"/>
                <w:sz w:val="24"/>
                <w:szCs w:val="24"/>
                <w:lang w:val="en-US" w:eastAsia="zh-CN"/>
              </w:rPr>
              <w:t>1）行动方案在实现目标和能源指标方面的有效性；</w:t>
            </w:r>
          </w:p>
          <w:p>
            <w:pPr>
              <w:numPr>
                <w:ilvl w:val="0"/>
                <w:numId w:val="0"/>
              </w:numP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2）能源绩效参数EnPI（S）；3）主要能源使用（SEUs）的运行；4）实际能耗与预期能耗的对比评价；</w:t>
            </w:r>
            <w:r>
              <w:rPr>
                <w:rFonts w:hint="eastAsia" w:ascii="宋体" w:hAnsi="宋体" w:cs="宋体"/>
                <w:sz w:val="24"/>
                <w:szCs w:val="24"/>
                <w:lang w:val="en-US" w:eastAsia="zh-CN"/>
              </w:rPr>
              <w:t>确定了：</w:t>
            </w:r>
            <w:r>
              <w:rPr>
                <w:rFonts w:hint="eastAsia" w:ascii="宋体" w:hAnsi="宋体" w:eastAsia="宋体" w:cs="宋体"/>
                <w:sz w:val="24"/>
                <w:szCs w:val="24"/>
                <w:lang w:val="en-US" w:eastAsia="zh-CN"/>
              </w:rPr>
              <w:t>适用时的监视测量分析和评价方法</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应实施监视和测量</w:t>
            </w:r>
            <w:r>
              <w:rPr>
                <w:rFonts w:hint="eastAsia" w:ascii="宋体" w:hAnsi="宋体" w:cs="宋体"/>
                <w:sz w:val="24"/>
                <w:szCs w:val="24"/>
                <w:lang w:val="en-US" w:eastAsia="zh-CN"/>
              </w:rPr>
              <w:t>的时机\确定</w:t>
            </w:r>
            <w:r>
              <w:rPr>
                <w:rFonts w:hint="eastAsia" w:ascii="宋体" w:hAnsi="宋体" w:eastAsia="宋体" w:cs="宋体"/>
                <w:sz w:val="24"/>
                <w:szCs w:val="24"/>
                <w:lang w:val="en-US" w:eastAsia="zh-CN"/>
              </w:rPr>
              <w:t>分析和评价监视和测量的结果</w:t>
            </w:r>
            <w:r>
              <w:rPr>
                <w:rFonts w:hint="eastAsia" w:ascii="宋体" w:hAnsi="宋体" w:cs="宋体"/>
                <w:sz w:val="24"/>
                <w:szCs w:val="24"/>
                <w:lang w:val="en-US" w:eastAsia="zh-CN"/>
              </w:rPr>
              <w:t>的时机、</w:t>
            </w:r>
            <w:r>
              <w:rPr>
                <w:rFonts w:hint="eastAsia" w:ascii="宋体" w:hAnsi="宋体" w:eastAsia="宋体" w:cs="宋体"/>
                <w:sz w:val="24"/>
                <w:szCs w:val="24"/>
                <w:lang w:val="en-US" w:eastAsia="zh-CN"/>
              </w:rPr>
              <w:t>组织应评价其能源绩效和能源管理体系的有效性</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通过比较能源绩效参数值（EnPI值）和相应的能源基准（EnB）来评价能源绩效的改进</w:t>
            </w:r>
            <w:r>
              <w:rPr>
                <w:rFonts w:hint="eastAsia" w:ascii="宋体" w:hAnsi="宋体" w:cs="宋体"/>
                <w:sz w:val="24"/>
                <w:szCs w:val="24"/>
                <w:lang w:val="en-US" w:eastAsia="zh-CN"/>
              </w:rPr>
              <w:t>；</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numPr>
                <w:ilvl w:val="0"/>
                <w:numId w:val="0"/>
              </w:numPr>
              <w:ind w:left="0" w:leftChars="0" w:firstLine="0" w:firstLineChars="0"/>
              <w:rPr>
                <w:rFonts w:ascii="Times New Roman" w:hAnsi="Times New Roman" w:eastAsia="宋体" w:cs="Times New Roman"/>
                <w:kern w:val="2"/>
                <w:sz w:val="21"/>
                <w:lang w:val="en-US" w:eastAsia="zh-CN" w:bidi="ar-SA"/>
              </w:rPr>
            </w:pPr>
            <w:r>
              <w:rPr>
                <w:rFonts w:hint="eastAsia" w:ascii="宋体" w:hAnsi="宋体" w:eastAsia="宋体" w:cs="宋体"/>
                <w:b w:val="0"/>
                <w:bCs w:val="0"/>
                <w:color w:val="auto"/>
                <w:sz w:val="24"/>
                <w:szCs w:val="24"/>
                <w:u w:val="none"/>
                <w:lang w:val="en-US" w:eastAsia="zh-CN"/>
              </w:rPr>
              <w:t>内部审核</w:t>
            </w:r>
          </w:p>
        </w:tc>
        <w:tc>
          <w:tcPr>
            <w:tcW w:w="0" w:type="auto"/>
            <w:vAlign w:val="top"/>
          </w:tcPr>
          <w:p>
            <w:pPr>
              <w:numPr>
                <w:ilvl w:val="0"/>
                <w:numId w:val="0"/>
              </w:numPr>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 xml:space="preserve">9.2 </w:t>
            </w:r>
          </w:p>
        </w:tc>
        <w:tc>
          <w:tcPr>
            <w:tcW w:w="0" w:type="auto"/>
            <w:vAlign w:val="top"/>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编制了《202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年内部审核计划》查“审核目的”、“审核依据”——基本符合标准要求、审核安排时间202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月20～21日；有“审核日程安排表”具体到日期下的审核部门和审核员等内容；未见审核员自己审核本部门的情况；计划有编审批；组长王锋、组员马福刚黄荣军陈昌伟   梅常军徐雪周伟苑金鹿李建春；计划覆盖全部部门和产品活动</w:t>
            </w:r>
            <w:r>
              <w:rPr>
                <w:rFonts w:hint="eastAsia" w:ascii="宋体" w:hAnsi="宋体" w:cs="宋体"/>
                <w:sz w:val="24"/>
                <w:szCs w:val="24"/>
                <w:lang w:val="en-US" w:eastAsia="zh-CN"/>
              </w:rPr>
              <w:t>和</w:t>
            </w:r>
            <w:bookmarkStart w:id="0" w:name="_GoBack"/>
            <w:bookmarkEnd w:id="0"/>
            <w:r>
              <w:rPr>
                <w:rFonts w:hint="eastAsia" w:ascii="宋体" w:hAnsi="宋体" w:cs="宋体"/>
                <w:sz w:val="24"/>
                <w:szCs w:val="24"/>
                <w:lang w:val="en-US" w:eastAsia="zh-CN"/>
              </w:rPr>
              <w:t>EnMS标准条款</w:t>
            </w:r>
            <w:r>
              <w:rPr>
                <w:rFonts w:hint="eastAsia" w:ascii="宋体" w:hAnsi="宋体" w:eastAsia="宋体" w:cs="宋体"/>
                <w:sz w:val="24"/>
                <w:szCs w:val="24"/>
                <w:lang w:val="en-US" w:eastAsia="zh-CN"/>
              </w:rPr>
              <w:t xml:space="preserve">、计划批准王锋； </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"mailto:提供《首、末次会议签到表》有包括总经理等9人签字信息；日期2017.8.1.@2017.8.3.；"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提供《首、末次会议签到表》有张辉魏如庆喻开军李耀宏等</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6人签字信息；</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w:t>
            </w:r>
          </w:p>
          <w:p>
            <w:pPr>
              <w:numPr>
                <w:ilvl w:val="0"/>
                <w:numId w:val="0"/>
              </w:numPr>
              <w:rPr>
                <w:rFonts w:hint="eastAsia" w:ascii="宋体" w:hAnsi="宋体" w:cs="宋体"/>
                <w:sz w:val="24"/>
                <w:szCs w:val="24"/>
                <w:lang w:val="en-US" w:eastAsia="zh-CN"/>
              </w:rPr>
            </w:pPr>
            <w:r>
              <w:rPr>
                <w:rFonts w:hint="eastAsia" w:ascii="宋体" w:hAnsi="宋体" w:cs="宋体"/>
                <w:sz w:val="24"/>
                <w:szCs w:val="24"/>
                <w:lang w:val="en-US" w:eastAsia="zh-CN"/>
              </w:rPr>
              <w:t>提供各部门检查单、</w:t>
            </w:r>
            <w:r>
              <w:rPr>
                <w:rFonts w:hint="eastAsia" w:ascii="宋体" w:hAnsi="宋体" w:eastAsia="宋体" w:cs="宋体"/>
                <w:sz w:val="24"/>
                <w:szCs w:val="24"/>
                <w:lang w:val="en-US" w:eastAsia="zh-CN"/>
              </w:rPr>
              <w:t>抽查1条、管理层、审核条款“4.1/4.2/4.3/4.4/5.1/5.2/7.1/9.3/10.</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2”等——查基本符合策划的安排、条款检查内容基本符合标准要求、未见明显不符合情况；</w:t>
            </w:r>
            <w:r>
              <w:rPr>
                <w:rFonts w:hint="eastAsia" w:ascii="宋体" w:hAnsi="宋体" w:cs="宋体"/>
                <w:sz w:val="24"/>
                <w:szCs w:val="24"/>
                <w:lang w:val="en-US" w:eastAsia="zh-CN"/>
              </w:rPr>
              <w:t xml:space="preserve"> </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本次内审无不符合项；</w:t>
            </w:r>
          </w:p>
          <w:p>
            <w:pPr>
              <w:numPr>
                <w:ilvl w:val="0"/>
                <w:numId w:val="0"/>
              </w:numPr>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编制和提供了《内部审核报告》包含了本次审核的“目的、范围、准则和概述”——查评价基本覆盖体系范围内相关内容、包括能源方针目标指标的实现情况、能源基准绩效参数的确定、高耗能设备安全经济运行准则的执行、生产计划的安排关注季节性对能源消耗的影响提出了整改意见和纠正措施和预防措施的要求、法律法规和其他要求的执行情况等；提出的问题与改进措施“标准和工作内容结合不够、经济运行控制仍不到位”；审核结论：公司能源管理体系基本符合ISO50001标准要求，能源方针目标基本适宜、体系运行基本符合要求；编制批准王锋、2021.3.21；</w:t>
            </w:r>
          </w:p>
        </w:tc>
        <w:tc>
          <w:tcPr>
            <w:tcW w:w="0" w:type="auto"/>
            <w:vAlign w:val="top"/>
          </w:tcPr>
          <w:p>
            <w:pP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不符合和纠正措施</w:t>
            </w: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p>
        </w:tc>
        <w:tc>
          <w:tcPr>
            <w:tcW w:w="0" w:type="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cs="宋体"/>
                <w:color w:val="auto"/>
                <w:sz w:val="24"/>
                <w:szCs w:val="24"/>
                <w:lang w:val="en-US" w:eastAsia="zh-CN"/>
              </w:rPr>
            </w:pPr>
            <w:r>
              <w:rPr>
                <w:rFonts w:hint="eastAsia" w:ascii="宋体" w:hAnsi="宋体" w:eastAsia="宋体" w:cs="宋体"/>
                <w:sz w:val="24"/>
                <w:szCs w:val="24"/>
                <w:lang w:val="en-US" w:eastAsia="zh-CN"/>
              </w:rPr>
              <w:t>编</w:t>
            </w:r>
            <w:r>
              <w:rPr>
                <w:rFonts w:hint="eastAsia" w:ascii="宋体" w:hAnsi="宋体" w:eastAsia="宋体" w:cs="宋体"/>
                <w:color w:val="auto"/>
                <w:sz w:val="24"/>
                <w:szCs w:val="24"/>
                <w:lang w:val="en-US" w:eastAsia="zh-CN"/>
              </w:rPr>
              <w:t>制了《纠正措施和预防措施通知单》包括“不符合采取措施控制并纠正；任何纠正措施的结果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不符合的原因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性质和采取的任何后续措施；确定是否存在或是否可能发生类似的不符合；实施任何所需的措施；评审所采取的任何纠正措施的有效性；必要时，对能源管理体系进行变更改</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查内审无不符合项；</w:t>
            </w:r>
          </w:p>
        </w:tc>
        <w:tc>
          <w:tcPr>
            <w:tcW w:w="0" w:type="auto"/>
            <w:vAlign w:val="top"/>
          </w:tcPr>
          <w:p>
            <w:pPr>
              <w:rPr>
                <w:rFonts w:hint="eastAsia" w:ascii="宋体" w:hAnsi="宋体" w:eastAsia="宋体" w:cs="宋体"/>
                <w:kern w:val="2"/>
                <w:sz w:val="24"/>
                <w:szCs w:val="24"/>
                <w:lang w:val="en-US" w:eastAsia="zh-CN" w:bidi="ar-SA"/>
              </w:rPr>
            </w:p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Bqrl1gAAAAoBAAAP&#10;AAAAAAAAAAEAIAAAACIAAABkcnMvZG93bnJldi54bWxQSwECFAAUAAAACACHTuJA+A5LVagBAAAs&#10;AwAADgAAAAAAAAABACAAAAAlAQAAZHJzL2Uyb0RvYy54bWxQSwUGAAAAAAYABgBZAQAAPw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D0F04"/>
    <w:rsid w:val="1F3C37B4"/>
    <w:rsid w:val="7A0861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
    <w:pPr>
      <w:keepNext/>
      <w:keepLines/>
      <w:spacing w:line="360" w:lineRule="auto"/>
      <w:ind w:firstLine="200" w:firstLineChars="200"/>
      <w:outlineLvl w:val="1"/>
    </w:pPr>
    <w:rPr>
      <w:rFonts w:ascii="Cambria" w:hAnsi="Cambria" w:eastAsia="宋体" w:cs="Times New Roman"/>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style>
  <w:style w:type="paragraph" w:styleId="5">
    <w:name w:val="Plain Text"/>
    <w:basedOn w:val="1"/>
    <w:qFormat/>
    <w:uiPriority w:val="0"/>
    <w:rPr>
      <w:rFonts w:ascii="宋体" w:hAnsi="Courier New"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cp:lastModifiedBy>
  <dcterms:modified xsi:type="dcterms:W3CDTF">2021-04-22T02:07:56Z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