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人力资源部        </w:t>
            </w:r>
            <w:r>
              <w:rPr>
                <w:rFonts w:hint="eastAsia" w:ascii="Times New Roman" w:hAnsi="Times New Roman" w:eastAsia="宋体" w:cs="Times New Roman"/>
                <w:sz w:val="24"/>
                <w:szCs w:val="24"/>
              </w:rPr>
              <w:t>主管领导：李丽</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陪同人员：贺春锋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姜小清              </w:t>
            </w:r>
            <w:r>
              <w:rPr>
                <w:rFonts w:hint="eastAsia" w:ascii="Times New Roman" w:hAnsi="Times New Roman" w:eastAsia="宋体" w:cs="Times New Roman"/>
                <w:sz w:val="24"/>
                <w:szCs w:val="24"/>
              </w:rPr>
              <w:t>审核时</w:t>
            </w:r>
            <w:r>
              <w:rPr>
                <w:rFonts w:hint="eastAsia" w:asciiTheme="minorEastAsia" w:hAnsiTheme="minorEastAsia" w:eastAsiaTheme="minorEastAsia" w:cstheme="minorEastAsia"/>
                <w:sz w:val="24"/>
                <w:szCs w:val="24"/>
              </w:rPr>
              <w:t>间：</w:t>
            </w:r>
            <w:r>
              <w:rPr>
                <w:rFonts w:hint="eastAsia" w:asciiTheme="minorEastAsia" w:hAnsiTheme="minorEastAsia" w:eastAsiaTheme="minorEastAsia" w:cstheme="minorEastAsia"/>
                <w:sz w:val="24"/>
                <w:szCs w:val="24"/>
                <w:lang w:val="en-US" w:eastAsia="zh-CN"/>
              </w:rPr>
              <w:t>2021.4.23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jc w:val="both"/>
            </w:pPr>
            <w:r>
              <w:rPr>
                <w:rFonts w:hint="eastAsia"/>
              </w:rPr>
              <w:t>审核条款：</w:t>
            </w:r>
            <w:r>
              <w:rPr>
                <w:rFonts w:hint="eastAsia" w:asciiTheme="minorEastAsia" w:hAnsiTheme="minorEastAsia" w:eastAsiaTheme="minorEastAsia" w:cstheme="minorEastAsia"/>
                <w:b w:val="0"/>
                <w:bCs w:val="0"/>
                <w:sz w:val="18"/>
                <w:szCs w:val="18"/>
                <w:lang w:val="en-US" w:eastAsia="zh-CN"/>
              </w:rPr>
              <w:t>职责权限、目标指标、教育培训及能源意识、 运行控制     5.3/6.2/7.2/7.3/8.1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ascii="Times New Roman" w:hAnsi="Times New Roman" w:eastAsia="宋体" w:cs="Times New Roman"/>
                <w:kern w:val="2"/>
                <w:sz w:val="21"/>
                <w:lang w:val="en-US" w:eastAsia="zh-CN" w:bidi="ar-SA"/>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p>
            <w:pPr>
              <w:rPr>
                <w:rFonts w:hint="eastAsia" w:ascii="宋体" w:hAnsi="宋体" w:eastAsia="宋体" w:cs="宋体"/>
                <w:b w:val="0"/>
                <w:bCs w:val="0"/>
                <w:color w:val="auto"/>
                <w:kern w:val="2"/>
                <w:sz w:val="24"/>
                <w:szCs w:val="24"/>
                <w:u w:val="none"/>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能源</w:t>
            </w:r>
            <w:r>
              <w:rPr>
                <w:rFonts w:hint="eastAsia" w:ascii="宋体" w:hAnsi="宋体" w:eastAsia="宋体" w:cs="宋体"/>
                <w:b w:val="0"/>
                <w:bCs w:val="0"/>
                <w:color w:val="auto"/>
                <w:sz w:val="24"/>
                <w:szCs w:val="24"/>
                <w:u w:val="single"/>
                <w:lang w:val="en-US" w:eastAsia="zh-CN"/>
              </w:rPr>
              <w:t>岗位人员和岗位设</w:t>
            </w:r>
            <w:r>
              <w:rPr>
                <w:rFonts w:hint="eastAsia" w:ascii="宋体" w:hAnsi="宋体" w:eastAsia="宋体" w:cs="宋体"/>
                <w:b w:val="0"/>
                <w:bCs w:val="0"/>
                <w:color w:val="auto"/>
                <w:sz w:val="24"/>
                <w:szCs w:val="24"/>
                <w:lang w:val="en-US" w:eastAsia="zh-CN"/>
              </w:rPr>
              <w:t>置：</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部门共</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人、其中</w:t>
            </w:r>
            <w:r>
              <w:rPr>
                <w:rFonts w:hint="eastAsia" w:ascii="宋体" w:hAnsi="宋体" w:cs="宋体"/>
                <w:b w:val="0"/>
                <w:bCs w:val="0"/>
                <w:color w:val="auto"/>
                <w:sz w:val="24"/>
                <w:szCs w:val="24"/>
                <w:lang w:val="en-US" w:eastAsia="zh-CN"/>
              </w:rPr>
              <w:t>主管</w:t>
            </w:r>
            <w:r>
              <w:rPr>
                <w:rFonts w:hint="eastAsia" w:ascii="宋体" w:hAnsi="宋体" w:eastAsia="宋体" w:cs="宋体"/>
                <w:b w:val="0"/>
                <w:bCs w:val="0"/>
                <w:color w:val="auto"/>
                <w:sz w:val="24"/>
                <w:szCs w:val="24"/>
                <w:lang w:val="en-US" w:eastAsia="zh-CN"/>
              </w:rPr>
              <w:t>1名、其他文员；</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主要工</w:t>
            </w:r>
            <w:r>
              <w:rPr>
                <w:rFonts w:hint="eastAsia" w:ascii="宋体" w:hAnsi="宋体" w:eastAsia="宋体" w:cs="宋体"/>
                <w:b w:val="0"/>
                <w:bCs w:val="0"/>
                <w:color w:val="auto"/>
                <w:sz w:val="24"/>
                <w:szCs w:val="24"/>
                <w:u w:val="single"/>
                <w:lang w:val="en-US" w:eastAsia="zh-CN"/>
              </w:rPr>
              <w:t>作内容和职责权</w:t>
            </w:r>
            <w:r>
              <w:rPr>
                <w:rFonts w:hint="eastAsia" w:ascii="宋体" w:hAnsi="宋体" w:eastAsia="宋体" w:cs="宋体"/>
                <w:b w:val="0"/>
                <w:bCs w:val="0"/>
                <w:color w:val="auto"/>
                <w:sz w:val="24"/>
                <w:szCs w:val="24"/>
                <w:lang w:val="en-US" w:eastAsia="zh-CN"/>
              </w:rPr>
              <w:t>限：</w:t>
            </w:r>
          </w:p>
          <w:p>
            <w:pPr>
              <w:numPr>
                <w:ilvl w:val="0"/>
                <w:numId w:val="0"/>
              </w:numPr>
              <w:ind w:leftChars="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负责本部门能源管理体系建立实施与运行持续改进。负责人力资源的提供，以及员工的培训工作；负责收集、识别与本部门相关的能源管理标准、工艺标准、技术规定等。</w:t>
            </w:r>
          </w:p>
        </w:tc>
        <w:tc>
          <w:tcPr>
            <w:tcW w:w="1585" w:type="dxa"/>
            <w:vAlign w:val="top"/>
          </w:tcPr>
          <w:p>
            <w:pPr>
              <w:rPr>
                <w:rFonts w:ascii="Times New Roman" w:hAnsi="Times New Roman" w:eastAsia="宋体" w:cs="Times New Roman"/>
                <w:kern w:val="2"/>
                <w:sz w:val="21"/>
                <w:lang w:val="en-US" w:eastAsia="zh-CN" w:bidi="ar-SA"/>
              </w:rPr>
            </w:pP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 </w:t>
            </w:r>
          </w:p>
        </w:tc>
        <w:tc>
          <w:tcPr>
            <w:tcW w:w="10004"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w:t>
            </w:r>
            <w:r>
              <w:rPr>
                <w:rFonts w:hint="eastAsia" w:ascii="宋体" w:hAnsi="宋体" w:cs="宋体"/>
                <w:color w:val="auto"/>
                <w:sz w:val="24"/>
                <w:szCs w:val="24"/>
                <w:lang w:val="en-US" w:eastAsia="zh-CN"/>
              </w:rPr>
              <w:t>及管理</w:t>
            </w:r>
            <w:r>
              <w:rPr>
                <w:rFonts w:hint="eastAsia" w:ascii="宋体" w:hAnsi="宋体" w:eastAsia="宋体" w:cs="宋体"/>
                <w:color w:val="auto"/>
                <w:sz w:val="24"/>
                <w:szCs w:val="24"/>
                <w:lang w:val="en-US" w:eastAsia="zh-CN"/>
              </w:rPr>
              <w:t>方案》；</w:t>
            </w:r>
          </w:p>
          <w:p>
            <w:pP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本部门</w:t>
            </w:r>
            <w:r>
              <w:rPr>
                <w:rFonts w:hint="eastAsia" w:ascii="宋体" w:hAnsi="宋体" w:cs="宋体"/>
                <w:color w:val="auto"/>
                <w:sz w:val="24"/>
                <w:szCs w:val="24"/>
                <w:lang w:val="en-US" w:eastAsia="zh-CN"/>
              </w:rPr>
              <w:t>执行公司总</w:t>
            </w:r>
            <w:r>
              <w:rPr>
                <w:rFonts w:hint="eastAsia" w:ascii="宋体" w:hAnsi="宋体" w:eastAsia="宋体" w:cs="宋体"/>
                <w:color w:val="auto"/>
                <w:sz w:val="24"/>
                <w:szCs w:val="24"/>
                <w:lang w:val="en-US" w:eastAsia="zh-CN"/>
              </w:rPr>
              <w:t>的能源目标</w:t>
            </w:r>
            <w:r>
              <w:rPr>
                <w:rFonts w:hint="eastAsia" w:ascii="宋体" w:hAnsi="宋体" w:cs="宋体"/>
                <w:color w:val="auto"/>
                <w:sz w:val="24"/>
                <w:szCs w:val="24"/>
                <w:lang w:val="en-US" w:eastAsia="zh-CN"/>
              </w:rPr>
              <w:t>、管理方案主要“日常节水节电、节省柴汽油”等；</w:t>
            </w:r>
          </w:p>
          <w:p>
            <w:pPr>
              <w:rPr>
                <w:rFonts w:hint="eastAsia" w:ascii="Times New Roman" w:hAnsi="Times New Roman" w:eastAsia="宋体" w:cs="Times New Roman"/>
                <w:kern w:val="2"/>
                <w:sz w:val="21"/>
                <w:lang w:val="en-US" w:eastAsia="zh-CN" w:bidi="ar-SA"/>
              </w:rPr>
            </w:pPr>
            <w:r>
              <w:rPr>
                <w:rFonts w:hint="eastAsia" w:ascii="宋体" w:hAnsi="宋体" w:cs="宋体"/>
                <w:color w:val="auto"/>
                <w:sz w:val="24"/>
                <w:szCs w:val="24"/>
                <w:lang w:val="en-US" w:eastAsia="zh-CN"/>
              </w:rPr>
              <w:t>提供“能源绩效考评信息表”——其中</w:t>
            </w:r>
            <w:bookmarkStart w:id="0" w:name="_GoBack"/>
            <w:r>
              <w:rPr>
                <w:rFonts w:hint="eastAsia" w:ascii="宋体" w:hAnsi="宋体" w:cs="宋体"/>
                <w:color w:val="auto"/>
                <w:sz w:val="24"/>
                <w:szCs w:val="24"/>
                <w:lang w:val="en-US" w:eastAsia="zh-CN"/>
              </w:rPr>
              <w:t>本部门</w:t>
            </w:r>
            <w:bookmarkEnd w:id="0"/>
            <w:r>
              <w:rPr>
                <w:rFonts w:hint="eastAsia" w:ascii="宋体" w:hAnsi="宋体" w:cs="宋体"/>
                <w:color w:val="auto"/>
                <w:sz w:val="24"/>
                <w:szCs w:val="24"/>
                <w:lang w:val="en-US" w:eastAsia="zh-CN"/>
              </w:rPr>
              <w:t>2020年完成情况“达标”</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、符合规定；</w:t>
            </w:r>
          </w:p>
        </w:tc>
        <w:tc>
          <w:tcPr>
            <w:tcW w:w="1585" w:type="dxa"/>
            <w:vAlign w:val="top"/>
          </w:tcPr>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w:t>
            </w:r>
          </w:p>
          <w:p>
            <w:pPr>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意识</w:t>
            </w:r>
          </w:p>
        </w:tc>
        <w:tc>
          <w:tcPr>
            <w:tcW w:w="960"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p>
            <w:pPr>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7.3</w:t>
            </w:r>
          </w:p>
        </w:tc>
        <w:tc>
          <w:tcPr>
            <w:tcW w:w="10004" w:type="dxa"/>
            <w:vAlign w:val="top"/>
          </w:tcPr>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查人员能力培训材料：</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编制了《能源岗位说明书》包括涉及的重点用能岗位、人员要求、学历和经历要求等；现场抽查</w:t>
            </w:r>
            <w:r>
              <w:rPr>
                <w:rFonts w:hint="eastAsia" w:ascii="宋体" w:hAnsi="宋体" w:cs="宋体"/>
                <w:sz w:val="24"/>
                <w:szCs w:val="24"/>
                <w:lang w:val="en-US" w:eastAsia="zh-CN"/>
              </w:rPr>
              <w:t>冶炼</w:t>
            </w:r>
            <w:r>
              <w:rPr>
                <w:rFonts w:hint="eastAsia" w:ascii="宋体" w:hAnsi="宋体" w:eastAsia="宋体" w:cs="宋体"/>
                <w:sz w:val="24"/>
                <w:szCs w:val="24"/>
                <w:lang w:val="en-US" w:eastAsia="zh-CN"/>
              </w:rPr>
              <w:t>操作工和生产部主</w:t>
            </w:r>
            <w:r>
              <w:rPr>
                <w:rFonts w:hint="eastAsia" w:ascii="宋体" w:hAnsi="宋体" w:cs="宋体"/>
                <w:sz w:val="24"/>
                <w:szCs w:val="24"/>
                <w:lang w:val="en-US" w:eastAsia="zh-CN"/>
              </w:rPr>
              <w:t>管</w:t>
            </w:r>
            <w:r>
              <w:rPr>
                <w:rFonts w:hint="eastAsia" w:ascii="宋体" w:hAnsi="宋体" w:eastAsia="宋体" w:cs="宋体"/>
                <w:sz w:val="24"/>
                <w:szCs w:val="24"/>
                <w:lang w:val="en-US" w:eastAsia="zh-CN"/>
              </w:rPr>
              <w:t>各1人——基本满足岗位要求、符合规定；</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年度培训计划（能源体系）》共4项——均涉及能源管理体系的相关要求；时间范围202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.~10.；参加人员包括主要领导、能源小组、重点用能岗位、内审员——基本符合规定；</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抽查1条记录、提供《培训记录表》、题目 “安全节能生产”（2021.3.22）、签到显示包括魏如庆喻开军李耀宏李如云童小松李庭学曾宪彬杨梅张浒杨丽君等人信息、培训内容：</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1、各种主要能耗设备操作指导书（含节能技术和经济运行要求）、</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2、应急预案、</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3、应急物资的管理要求，如设备的检查，管路的检查等、</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4、发现设备或管路漏气、漏水、油类泄漏的应急措施；</w:t>
            </w:r>
          </w:p>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培训老师</w:t>
            </w:r>
            <w:r>
              <w:rPr>
                <w:rFonts w:hint="eastAsia" w:ascii="宋体" w:hAnsi="宋体" w:cs="宋体"/>
                <w:sz w:val="24"/>
                <w:szCs w:val="24"/>
                <w:lang w:val="en-US" w:eastAsia="zh-CN"/>
              </w:rPr>
              <w:t>外聘</w:t>
            </w:r>
            <w:r>
              <w:rPr>
                <w:rFonts w:hint="eastAsia" w:ascii="宋体" w:hAnsi="宋体" w:eastAsia="宋体" w:cs="宋体"/>
                <w:sz w:val="24"/>
                <w:szCs w:val="24"/>
                <w:lang w:val="en-US" w:eastAsia="zh-CN"/>
              </w:rPr>
              <w:t>；</w:t>
            </w:r>
          </w:p>
          <w:p>
            <w:pPr>
              <w:pStyle w:val="3"/>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提供《培训效果自我评价表》培训评价20条打分制、成绩显示参培人员成绩合格、评价人</w:t>
            </w:r>
            <w:r>
              <w:rPr>
                <w:rFonts w:hint="eastAsia" w:ascii="宋体" w:hAnsi="宋体" w:eastAsia="宋体" w:cs="Times New Roman"/>
                <w:sz w:val="24"/>
                <w:lang w:eastAsia="zh-CN"/>
              </w:rPr>
              <w:t>贺春锋</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.22。</w:t>
            </w:r>
          </w:p>
        </w:tc>
        <w:tc>
          <w:tcPr>
            <w:tcW w:w="1585" w:type="dxa"/>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numPr>
                <w:ilvl w:val="0"/>
                <w:numId w:val="0"/>
              </w:numPr>
              <w:ind w:left="0" w:leftChars="0" w:firstLine="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运行策划和控制</w:t>
            </w:r>
          </w:p>
        </w:tc>
        <w:tc>
          <w:tcPr>
            <w:tcW w:w="0" w:type="auto"/>
            <w:vAlign w:val="top"/>
          </w:tcPr>
          <w:p>
            <w:pPr>
              <w:pStyle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0" w:type="auto"/>
            <w:vAlign w:val="top"/>
          </w:tcPr>
          <w:p>
            <w:pPr>
              <w:pStyle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公司总能源目标指标、日常注意节水节电节约柴汽油等、开展员工的能源能力培训编制培训计划确定培训大纲和教材及确定有资格的能源培训老师、提供培训场所及制定培训效果评价方法（考卷、问答等）、执行问题员工的调岗转岗、再培训下岗等政策、强化员工的能源意识；现场查到包括环境职业健康安全及能源评价考卷多份、有人员名字、成绩等信息、查考题基本覆盖能源体系的基本要求、法律法规要求等；另查管理岗位人员的能力培训情况基本符合规定；另了解到人员培训成绩计入员工绩效考核内容（信息传递7.4）；</w:t>
            </w:r>
          </w:p>
          <w:p>
            <w:pPr>
              <w:pStyle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编制了《能源管理制度》人员注意节水节电减少柴汽油消耗；</w:t>
            </w:r>
          </w:p>
        </w:tc>
        <w:tc>
          <w:tcPr>
            <w:tcW w:w="0" w:type="auto"/>
            <w:vAlign w:val="top"/>
          </w:tcPr>
          <w:p>
            <w:pPr>
              <w:rPr>
                <w:rFonts w:hint="eastAsia" w:ascii="宋体" w:hAnsi="宋体" w:eastAsia="宋体" w:cs="宋体"/>
                <w:kern w:val="2"/>
                <w:sz w:val="24"/>
                <w:szCs w:val="24"/>
                <w:lang w:val="en-US" w:eastAsia="zh-CN" w:bidi="ar-SA"/>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0F04"/>
    <w:rsid w:val="0D442448"/>
    <w:rsid w:val="1BE7663D"/>
    <w:rsid w:val="1F3C37B4"/>
    <w:rsid w:val="39982AD0"/>
    <w:rsid w:val="3CC94F6C"/>
    <w:rsid w:val="49A52CA6"/>
    <w:rsid w:val="4F3D5D09"/>
    <w:rsid w:val="50CC0FCA"/>
    <w:rsid w:val="66F60CD6"/>
    <w:rsid w:val="70E87180"/>
    <w:rsid w:val="7A086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cp:lastModifiedBy>
  <dcterms:modified xsi:type="dcterms:W3CDTF">2021-04-23T01:35:06Z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