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cs="楷体"/>
          <w:b/>
          <w:bCs/>
          <w:sz w:val="32"/>
          <w:szCs w:val="32"/>
        </w:rPr>
        <w:t>浙江澳华机电制造有限公司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2020-N1EMS-2219448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陆斌</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ISC-JSZJ-282</w:t>
            </w:r>
          </w:p>
          <w:p>
            <w:pPr>
              <w:jc w:val="center"/>
              <w:rPr>
                <w:b/>
                <w:sz w:val="21"/>
                <w:szCs w:val="21"/>
              </w:rPr>
            </w:pPr>
            <w:r>
              <w:rPr>
                <w:b/>
                <w:sz w:val="21"/>
                <w:szCs w:val="21"/>
              </w:rPr>
              <w:t>嘉兴光大变压器制造有限公司</w:t>
            </w:r>
          </w:p>
        </w:tc>
        <w:tc>
          <w:tcPr>
            <w:tcW w:w="1728" w:type="dxa"/>
            <w:gridSpan w:val="2"/>
            <w:vAlign w:val="center"/>
          </w:tcPr>
          <w:p>
            <w:pPr>
              <w:jc w:val="center"/>
              <w:rPr>
                <w:b/>
                <w:sz w:val="21"/>
                <w:szCs w:val="21"/>
              </w:rPr>
            </w:pPr>
            <w:r>
              <w:rPr>
                <w:b/>
                <w:sz w:val="21"/>
                <w:szCs w:val="21"/>
              </w:rPr>
              <w:t>19.09.01</w:t>
            </w:r>
          </w:p>
        </w:tc>
        <w:tc>
          <w:tcPr>
            <w:tcW w:w="1729" w:type="dxa"/>
            <w:gridSpan w:val="2"/>
            <w:vAlign w:val="center"/>
          </w:tcPr>
          <w:p>
            <w:pPr>
              <w:jc w:val="center"/>
              <w:rPr>
                <w:b/>
                <w:sz w:val="21"/>
                <w:szCs w:val="21"/>
              </w:rPr>
            </w:pPr>
            <w:r>
              <w:rPr>
                <w:b/>
                <w:sz w:val="21"/>
                <w:szCs w:val="21"/>
              </w:rPr>
              <w:t>ISC-JSZJ-282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color w:val="auto"/>
                <w:sz w:val="21"/>
              </w:rPr>
              <w:t>浙江澳华机电制造有限公司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浙江省嘉兴市南湖区七星街道永富路158号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314102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浙江省嘉兴市南湖区七星街道永富路158号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314102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浙江省嘉兴市南湖区七星街道永富路158号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314102</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姚家俊</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0573-83888012</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陆慧</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宋玮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2021年04月20日 上午至2021年04月21日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bookmarkStart w:id="27" w:name="审核范围"/>
            <w:r>
              <w:rPr>
                <w:sz w:val="20"/>
              </w:rPr>
              <w:t>变压器的生产及其所涉及的环境管理活动</w:t>
            </w:r>
            <w:bookmarkEnd w:id="27"/>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19.09.01</w:t>
            </w:r>
            <w:bookmarkEnd w:id="2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2023.7.16</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2020.7.8-11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11</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ascii="宋体" w:hAnsi="宋体"/>
                <w:b/>
                <w:sz w:val="21"/>
                <w:szCs w:val="21"/>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numId w:val="0"/>
              </w:numPr>
              <w:spacing w:line="240" w:lineRule="exact"/>
              <w:rPr>
                <w:rFonts w:ascii="宋体" w:hAnsi="宋体"/>
                <w:b/>
                <w:sz w:val="21"/>
                <w:szCs w:val="21"/>
              </w:rPr>
            </w:pPr>
            <w:r>
              <w:rPr>
                <w:rFonts w:hint="eastAsia"/>
              </w:rPr>
              <w:t>公司确定了与</w:t>
            </w:r>
            <w:r>
              <w:rPr>
                <w:rFonts w:hint="eastAsia"/>
                <w:lang w:eastAsia="zh-CN"/>
              </w:rPr>
              <w:t>环境</w:t>
            </w:r>
            <w:r>
              <w:rPr>
                <w:rFonts w:hint="eastAsia"/>
              </w:rPr>
              <w:t>管理体系有关的相关方包括股东、政府机构、顾客、</w:t>
            </w:r>
            <w:r>
              <w:rPr>
                <w:rFonts w:hint="eastAsia"/>
                <w:lang w:val="en-US" w:eastAsia="zh-CN"/>
              </w:rPr>
              <w:t>供方</w:t>
            </w:r>
            <w:r>
              <w:rPr>
                <w:rFonts w:hint="eastAsia"/>
              </w:rPr>
              <w:t>、内部员工等。相关方对企业的要求有：遵守国家的现行法律法规、产品节能环保，对环境无重大污染以及不断提高</w:t>
            </w:r>
            <w:r>
              <w:rPr>
                <w:rFonts w:hint="eastAsia"/>
                <w:lang w:val="en-US" w:eastAsia="zh-CN"/>
              </w:rPr>
              <w:t>相关方</w:t>
            </w:r>
            <w:r>
              <w:rPr>
                <w:rFonts w:hint="eastAsia"/>
              </w:rPr>
              <w:t>满意度等。</w:t>
            </w:r>
            <w:r>
              <w:rPr>
                <w:rFonts w:hint="eastAsia"/>
                <w:lang w:val="en-US" w:eastAsia="zh-CN"/>
              </w:rPr>
              <w:t>公司通过</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环境</w:t>
            </w:r>
            <w:r>
              <w:rPr>
                <w:rFonts w:hint="eastAsia"/>
              </w:rPr>
              <w:t>绩效</w:t>
            </w:r>
            <w:r>
              <w:rPr>
                <w:rFonts w:hint="eastAsia"/>
                <w:lang w:val="en-US" w:eastAsia="zh-CN"/>
              </w:rPr>
              <w:t>等，</w:t>
            </w:r>
            <w:r>
              <w:rPr>
                <w:rFonts w:hint="eastAsia"/>
              </w:rPr>
              <w:t>公司管理层及相关部门将持续关注相关方需求的变化，通过评估风险和机遇，调整管理体系目标和指标或变更管理过程以适应这些变化或实现改进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numId w:val="0"/>
              </w:numPr>
              <w:rPr>
                <w:rFonts w:hint="eastAsia" w:cs="宋体"/>
              </w:rPr>
            </w:pPr>
            <w:r>
              <w:t>1.</w:t>
            </w:r>
            <w:r>
              <w:rPr>
                <w:rFonts w:hint="eastAsia"/>
                <w:lang w:val="en-US" w:eastAsia="zh-CN"/>
              </w:rPr>
              <w:t xml:space="preserve"> </w:t>
            </w:r>
            <w:r>
              <w:rPr>
                <w:rFonts w:hint="eastAsia" w:cs="宋体"/>
              </w:rPr>
              <w:t>管理方针：</w:t>
            </w:r>
          </w:p>
          <w:p>
            <w:pPr>
              <w:rPr>
                <w:rFonts w:hint="eastAsia"/>
                <w:sz w:val="21"/>
                <w:szCs w:val="21"/>
                <w:lang w:val="en-US" w:eastAsia="zh-CN"/>
              </w:rPr>
            </w:pPr>
            <w:r>
              <w:rPr>
                <w:rFonts w:hint="eastAsia"/>
                <w:sz w:val="21"/>
                <w:szCs w:val="21"/>
              </w:rPr>
              <w:t>节能降耗，防治污染，保护环境</w:t>
            </w:r>
            <w:r>
              <w:rPr>
                <w:rFonts w:hint="eastAsia"/>
                <w:sz w:val="21"/>
                <w:szCs w:val="21"/>
                <w:lang w:eastAsia="zh-CN"/>
              </w:rPr>
              <w:t>，</w:t>
            </w:r>
            <w:r>
              <w:rPr>
                <w:rFonts w:hint="eastAsia"/>
                <w:sz w:val="21"/>
                <w:szCs w:val="21"/>
                <w:lang w:val="en-US" w:eastAsia="zh-CN"/>
              </w:rPr>
              <w:t>持续改进</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spacing w:line="280" w:lineRule="exact"/>
              <w:rPr>
                <w:rFonts w:ascii="宋体" w:hAnsi="宋体"/>
                <w:b/>
                <w:sz w:val="21"/>
                <w:szCs w:val="2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numId w:val="0"/>
              </w:numPr>
              <w:spacing w:line="280" w:lineRule="exact"/>
              <w:ind w:leftChars="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sym w:font="Wingdings 2" w:char="0052"/>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sz w:val="21"/>
                <w:szCs w:val="21"/>
                <w:lang w:val="en-US" w:eastAsia="zh-CN"/>
              </w:rPr>
              <w:t>行政部组织全体部门对所涉及的环境因素进行识别，并评价出重要环境因素，提供环境因素评价记录，目前环境因素识别基本完整，评价的重要环境因素有</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废气的排放、噪声排放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3"/>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tabs>
                <w:tab w:val="left" w:pos="0"/>
              </w:tabs>
              <w:spacing w:line="240" w:lineRule="exact"/>
              <w:rPr>
                <w:rFonts w:ascii="宋体" w:hAnsi="宋体"/>
                <w:b/>
                <w:sz w:val="2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rPr>
                <w:rFonts w:hint="eastAsia" w:cs="宋体"/>
                <w:lang w:eastAsia="zh-CN"/>
              </w:rPr>
            </w:pPr>
            <w:r>
              <w:rPr>
                <w:rFonts w:hint="eastAsia" w:ascii="Times New Roman" w:hAnsi="Times New Roman" w:cs="宋体"/>
              </w:rPr>
              <w:t>公司环境目标</w:t>
            </w:r>
            <w:r>
              <w:rPr>
                <w:rFonts w:hint="eastAsia" w:cs="宋体"/>
                <w:lang w:eastAsia="zh-CN"/>
              </w:rPr>
              <w:t>：</w:t>
            </w:r>
          </w:p>
          <w:p>
            <w:pPr>
              <w:rPr>
                <w:rFonts w:hint="eastAsia"/>
                <w:sz w:val="21"/>
                <w:szCs w:val="21"/>
              </w:rPr>
            </w:pPr>
            <w:r>
              <w:rPr>
                <w:rFonts w:hint="eastAsia"/>
                <w:sz w:val="21"/>
                <w:szCs w:val="21"/>
              </w:rPr>
              <w:t>1）</w:t>
            </w:r>
            <w:r>
              <w:rPr>
                <w:rFonts w:hint="eastAsia"/>
                <w:sz w:val="21"/>
                <w:szCs w:val="21"/>
                <w:lang w:val="en-US" w:eastAsia="zh-CN"/>
              </w:rPr>
              <w:t>固废分类处置，</w:t>
            </w:r>
            <w:r>
              <w:rPr>
                <w:rFonts w:hint="eastAsia"/>
                <w:sz w:val="21"/>
                <w:szCs w:val="21"/>
              </w:rPr>
              <w:t>减少废弃物（生活垃圾、油漆桶、漆包线架等）对环境的影响</w:t>
            </w:r>
          </w:p>
          <w:p>
            <w:pPr>
              <w:rPr>
                <w:rFonts w:hint="eastAsia"/>
                <w:sz w:val="21"/>
                <w:szCs w:val="21"/>
              </w:rPr>
            </w:pPr>
            <w:r>
              <w:rPr>
                <w:rFonts w:hint="eastAsia"/>
                <w:sz w:val="21"/>
                <w:szCs w:val="21"/>
              </w:rPr>
              <w:t>2）杜绝火灾的发生</w:t>
            </w:r>
          </w:p>
          <w:p>
            <w:pPr>
              <w:rPr>
                <w:rFonts w:hint="eastAsia"/>
                <w:sz w:val="21"/>
                <w:szCs w:val="21"/>
              </w:rPr>
            </w:pPr>
            <w:r>
              <w:rPr>
                <w:rFonts w:hint="eastAsia"/>
                <w:sz w:val="21"/>
                <w:szCs w:val="21"/>
              </w:rPr>
              <w:t>3）噪声排放达标率100%</w:t>
            </w:r>
          </w:p>
          <w:p>
            <w:pPr>
              <w:numPr>
                <w:ilvl w:val="0"/>
                <w:numId w:val="4"/>
              </w:numPr>
              <w:rPr>
                <w:rFonts w:hint="eastAsia" w:ascii="Times New Roman" w:hAnsi="Times New Roman" w:cs="宋体"/>
                <w:lang w:eastAsia="zh-CN"/>
              </w:rPr>
            </w:pPr>
            <w:r>
              <w:rPr>
                <w:rFonts w:hint="eastAsia"/>
                <w:sz w:val="21"/>
                <w:szCs w:val="21"/>
              </w:rPr>
              <w:t>废气排放达标率100%。</w:t>
            </w:r>
          </w:p>
          <w:p>
            <w:pPr>
              <w:spacing w:line="240" w:lineRule="exact"/>
              <w:rPr>
                <w:rFonts w:ascii="宋体" w:hAnsi="宋体"/>
                <w:b/>
                <w:sz w:val="21"/>
                <w:szCs w:val="2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w:t>
            </w:r>
            <w:r>
              <w:rPr>
                <w:rFonts w:hint="eastAsia" w:cs="宋体"/>
                <w:lang w:val="en-US" w:eastAsia="zh-CN"/>
              </w:rPr>
              <w:t>21</w:t>
            </w:r>
            <w:r>
              <w:rPr>
                <w:rFonts w:hint="eastAsia" w:ascii="Times New Roman" w:hAnsi="Times New Roman" w:cs="宋体"/>
                <w:lang w:val="en-US" w:eastAsia="zh-CN"/>
              </w:rPr>
              <w:t>年</w:t>
            </w:r>
            <w:r>
              <w:rPr>
                <w:rFonts w:hint="eastAsia" w:cs="宋体"/>
                <w:lang w:val="en-US" w:eastAsia="zh-CN"/>
              </w:rPr>
              <w:t>1季度</w:t>
            </w:r>
            <w:r>
              <w:rPr>
                <w:rFonts w:hint="eastAsia" w:ascii="Times New Roman" w:hAnsi="Times New Roman" w:cs="宋体"/>
                <w:lang w:val="en-US" w:eastAsia="zh-CN"/>
              </w:rPr>
              <w:t>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Times New Roman" w:hAnsi="Times New Roman" w:cs="宋体"/>
              </w:rPr>
              <w:t>管理体系文件由</w:t>
            </w:r>
            <w:r>
              <w:rPr>
                <w:rFonts w:hint="eastAsia" w:cs="宋体"/>
                <w:lang w:eastAsia="zh-CN"/>
              </w:rPr>
              <w:t>行政部</w:t>
            </w:r>
            <w:r>
              <w:rPr>
                <w:rFonts w:hint="eastAsia" w:ascii="Times New Roman" w:hAnsi="Times New Roman" w:cs="宋体"/>
              </w:rPr>
              <w:t>组织编写，总经理批准发布实施，</w:t>
            </w:r>
            <w:r>
              <w:rPr>
                <w:rFonts w:hint="eastAsia" w:cs="宋体"/>
                <w:lang w:eastAsia="zh-CN"/>
              </w:rPr>
              <w:t>行政部</w:t>
            </w:r>
            <w:r>
              <w:rPr>
                <w:rFonts w:hint="eastAsia" w:ascii="Times New Roman" w:hAnsi="Times New Roman" w:cs="宋体"/>
              </w:rPr>
              <w:t>打印传阅，公司文件柜存放，电子版本在电脑上，每个人均可查阅。外来文件电子版本在电脑上，每个人均可查阅，产品技术标准打印一套，放于文件柜内该公司人员均可查阅，外来人员查阅需经过总经理批准。记录管理：</w:t>
            </w:r>
            <w:r>
              <w:rPr>
                <w:rFonts w:hint="eastAsia" w:cs="宋体"/>
                <w:lang w:eastAsia="zh-CN"/>
              </w:rPr>
              <w:t>行政部</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行政部</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sz w:val="21"/>
                <w:szCs w:val="21"/>
              </w:rPr>
              <w:t>公司共有员工</w:t>
            </w:r>
            <w:r>
              <w:rPr>
                <w:rFonts w:hint="eastAsia"/>
                <w:sz w:val="21"/>
                <w:szCs w:val="21"/>
                <w:lang w:val="en-US" w:eastAsia="zh-CN"/>
              </w:rPr>
              <w:t>25</w:t>
            </w:r>
            <w:r>
              <w:rPr>
                <w:rFonts w:hint="eastAsia"/>
                <w:sz w:val="21"/>
                <w:szCs w:val="21"/>
              </w:rPr>
              <w:t>人，其中管理人员</w:t>
            </w:r>
            <w:r>
              <w:rPr>
                <w:rFonts w:hint="eastAsia"/>
                <w:sz w:val="21"/>
                <w:szCs w:val="21"/>
                <w:lang w:val="en-US" w:eastAsia="zh-CN"/>
              </w:rPr>
              <w:t>6</w:t>
            </w:r>
            <w:r>
              <w:rPr>
                <w:rFonts w:hint="eastAsia"/>
                <w:sz w:val="21"/>
                <w:szCs w:val="21"/>
              </w:rPr>
              <w:t>人，满足</w:t>
            </w:r>
            <w:r>
              <w:rPr>
                <w:rFonts w:hint="eastAsia"/>
                <w:sz w:val="21"/>
                <w:szCs w:val="21"/>
                <w:lang w:val="en-US" w:eastAsia="zh-CN"/>
              </w:rPr>
              <w:t>生产服务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rPr>
                <w:rFonts w:ascii="宋体" w:hAnsi="宋体"/>
                <w:b/>
                <w:sz w:val="21"/>
                <w:szCs w:val="21"/>
              </w:rPr>
            </w:pPr>
            <w:r>
              <w:rPr>
                <w:rFonts w:hint="eastAsia"/>
                <w:sz w:val="21"/>
                <w:szCs w:val="21"/>
              </w:rPr>
              <w:t>配备有</w:t>
            </w:r>
            <w:r>
              <w:rPr>
                <w:rFonts w:hint="eastAsia"/>
                <w:sz w:val="21"/>
                <w:szCs w:val="21"/>
                <w:lang w:val="en-US" w:eastAsia="zh-CN"/>
              </w:rPr>
              <w:t>办公室</w:t>
            </w:r>
            <w:r>
              <w:rPr>
                <w:rFonts w:hint="eastAsia"/>
                <w:sz w:val="21"/>
                <w:szCs w:val="21"/>
                <w:lang w:eastAsia="zh-CN"/>
              </w:rPr>
              <w:t>、</w:t>
            </w:r>
            <w:r>
              <w:rPr>
                <w:rFonts w:hint="eastAsia"/>
                <w:sz w:val="21"/>
                <w:szCs w:val="21"/>
                <w:lang w:val="en-US" w:eastAsia="zh-CN"/>
              </w:rPr>
              <w:t>车间</w:t>
            </w:r>
            <w:r>
              <w:rPr>
                <w:rFonts w:hint="eastAsia"/>
                <w:sz w:val="21"/>
                <w:szCs w:val="21"/>
              </w:rPr>
              <w:t>等基础设施，主要设</w:t>
            </w:r>
            <w:r>
              <w:rPr>
                <w:rFonts w:hint="eastAsia"/>
                <w:sz w:val="21"/>
                <w:szCs w:val="21"/>
                <w:lang w:eastAsia="zh-CN"/>
              </w:rPr>
              <w:t>施：</w:t>
            </w:r>
            <w:r>
              <w:rPr>
                <w:rFonts w:hint="eastAsia"/>
                <w:szCs w:val="21"/>
              </w:rPr>
              <w:t>箱绕机、高压自动绕线机、鼓风电热恒温干燥箱、低压绕线机、钻铣机床、数控机床、剪板机真空浸漆设备、液压冲孔机、冲床、电焊机、切割机、折弯机等、压力机</w:t>
            </w:r>
            <w:r>
              <w:rPr>
                <w:rFonts w:hint="eastAsia"/>
                <w:sz w:val="21"/>
                <w:szCs w:val="21"/>
              </w:rPr>
              <w:t>，满足</w:t>
            </w:r>
            <w:r>
              <w:rPr>
                <w:rFonts w:hint="eastAsia"/>
                <w:sz w:val="21"/>
                <w:szCs w:val="21"/>
                <w:lang w:val="en-US" w:eastAsia="zh-CN"/>
              </w:rPr>
              <w:t>生产</w:t>
            </w:r>
            <w:r>
              <w:rPr>
                <w:rFonts w:hint="eastAsia"/>
                <w:sz w:val="21"/>
                <w:szCs w:val="21"/>
                <w:lang w:eastAsia="zh-CN"/>
              </w:rPr>
              <w:t>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rPr>
                <w:sz w:val="21"/>
                <w:szCs w:val="21"/>
              </w:rPr>
              <w:t>嘉兴市南湖区七星街道永富路158号</w:t>
            </w:r>
            <w:r>
              <w:rPr>
                <w:rFonts w:hint="eastAsia" w:cs="宋体"/>
                <w:sz w:val="21"/>
                <w:szCs w:val="21"/>
              </w:rPr>
              <w:t>，</w:t>
            </w:r>
            <w:r>
              <w:rPr>
                <w:rFonts w:hint="eastAsia" w:ascii="宋体" w:hAnsi="宋体"/>
                <w:szCs w:val="21"/>
              </w:rPr>
              <w:t>车间3600平米、办公面积800平米</w:t>
            </w:r>
            <w:r>
              <w:rPr>
                <w:rFonts w:hint="eastAsia" w:cs="宋体"/>
                <w:szCs w:val="21"/>
              </w:rPr>
              <w:t>，生产车间1个，办公楼1座</w:t>
            </w:r>
            <w:r>
              <w:rPr>
                <w:rFonts w:hint="eastAsia"/>
                <w:szCs w:val="21"/>
              </w:rPr>
              <w:t>布局合理，场所卫生干净整洁，配有通风设施，工作环境良好</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监视和测量资源</w:t>
            </w:r>
          </w:p>
          <w:p>
            <w:pPr>
              <w:pStyle w:val="2"/>
              <w:rPr>
                <w:rFonts w:hint="eastAsia" w:eastAsia="宋体"/>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rPr>
                <w:rFonts w:ascii="宋体" w:hAnsi="宋体"/>
                <w:b/>
                <w:sz w:val="21"/>
                <w:szCs w:val="21"/>
              </w:rPr>
            </w:pPr>
            <w:r>
              <w:rPr>
                <w:rFonts w:hint="eastAsia"/>
                <w:sz w:val="21"/>
                <w:szCs w:val="21"/>
              </w:rPr>
              <w:t>公司对法律法规及其他要求进行了获取，包括质量法、合同法、环境保护法、劳动法、消防法、环境空气质量标准、固体废弃物环境防治法、仓库防火安全管理规则、</w:t>
            </w:r>
            <w:r>
              <w:rPr>
                <w:rFonts w:hint="eastAsia"/>
                <w:lang w:eastAsia="zh-CN"/>
              </w:rPr>
              <w:t>DB11/501-2007《大气污染物综合排放标准》、GB12348-2008《工业企业厂界环境噪声排放标准》</w:t>
            </w:r>
            <w:r>
              <w:rPr>
                <w:rFonts w:hint="eastAsia" w:ascii="宋体" w:hAnsi="宋体"/>
                <w:sz w:val="21"/>
                <w:szCs w:val="21"/>
                <w:u w:val="none"/>
                <w:lang w:eastAsia="zh-CN"/>
              </w:rPr>
              <w:t>、</w:t>
            </w:r>
            <w:r>
              <w:rPr>
                <w:rFonts w:hint="eastAsia"/>
                <w:sz w:val="21"/>
                <w:szCs w:val="21"/>
              </w:rPr>
              <w:t>GB/T24001-2016《环境管理体系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default" w:ascii="宋体" w:hAnsi="宋体"/>
                <w:b/>
                <w:sz w:val="21"/>
                <w:szCs w:val="21"/>
                <w:lang w:val="en-US"/>
              </w:rPr>
            </w:pPr>
            <w:r>
              <w:rPr>
                <w:rFonts w:hint="eastAsia" w:ascii="宋体" w:hAnsi="宋体"/>
                <w:b/>
                <w:sz w:val="21"/>
                <w:szCs w:val="21"/>
              </w:rPr>
              <w:t>环保设施：</w:t>
            </w:r>
            <w:r>
              <w:rPr>
                <w:rFonts w:hint="eastAsia" w:ascii="宋体" w:hAnsi="宋体"/>
                <w:b/>
                <w:color w:val="000000" w:themeColor="text1"/>
                <w:sz w:val="20"/>
                <w:szCs w:val="20"/>
                <w:lang w:val="en-US" w:eastAsia="zh-CN"/>
              </w:rPr>
              <w:t>灭火器、雨污分流沟渠等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numPr>
                <w:numId w:val="0"/>
              </w:numPr>
              <w:rPr>
                <w:rFonts w:hint="eastAsia" w:cs="宋体"/>
              </w:rPr>
            </w:pPr>
            <w:r>
              <w:rPr>
                <w:rFonts w:hint="eastAsia" w:ascii="宋体" w:hAnsi="宋体"/>
                <w:b/>
                <w:sz w:val="21"/>
                <w:szCs w:val="21"/>
              </w:rPr>
              <w:t>（包括针对组织宗旨，制定相关管理方针政策、确保方针为员工理解并在运营中实施，监视方针的实施并评审方针的适宜性）</w:t>
            </w:r>
            <w:r>
              <w:rPr>
                <w:rFonts w:hint="eastAsia" w:cs="宋体"/>
              </w:rPr>
              <w:t>管理方针：</w:t>
            </w:r>
          </w:p>
          <w:p>
            <w:pPr>
              <w:rPr>
                <w:rFonts w:hint="eastAsia"/>
                <w:sz w:val="21"/>
                <w:szCs w:val="21"/>
                <w:lang w:val="en-US" w:eastAsia="zh-CN"/>
              </w:rPr>
            </w:pPr>
            <w:r>
              <w:rPr>
                <w:rFonts w:hint="eastAsia"/>
                <w:sz w:val="21"/>
                <w:szCs w:val="21"/>
                <w:lang w:val="en-US" w:eastAsia="zh-CN"/>
              </w:rPr>
              <w:t>1.</w:t>
            </w:r>
            <w:r>
              <w:rPr>
                <w:rFonts w:hint="eastAsia"/>
                <w:sz w:val="21"/>
                <w:szCs w:val="21"/>
              </w:rPr>
              <w:t>节能降耗，防治污染，保护环境</w:t>
            </w:r>
            <w:r>
              <w:rPr>
                <w:rFonts w:hint="eastAsia"/>
                <w:sz w:val="21"/>
                <w:szCs w:val="21"/>
                <w:lang w:eastAsia="zh-CN"/>
              </w:rPr>
              <w:t>，</w:t>
            </w:r>
            <w:r>
              <w:rPr>
                <w:rFonts w:hint="eastAsia"/>
                <w:sz w:val="21"/>
                <w:szCs w:val="21"/>
                <w:lang w:val="en-US" w:eastAsia="zh-CN"/>
              </w:rPr>
              <w:t>持续改进</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spacing w:line="300" w:lineRule="exact"/>
              <w:ind w:left="1"/>
              <w:rPr>
                <w:rFonts w:ascii="宋体" w:hAnsi="宋体"/>
                <w:b/>
                <w:sz w:val="21"/>
                <w:szCs w:val="2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spacing w:line="240" w:lineRule="exact"/>
              <w:rPr>
                <w:rFonts w:ascii="宋体" w:hAnsi="宋体"/>
                <w:b/>
                <w:sz w:val="2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sz w:val="21"/>
                <w:szCs w:val="21"/>
                <w:lang w:val="en-GB"/>
              </w:rPr>
              <w:t>编制</w:t>
            </w:r>
            <w:r>
              <w:rPr>
                <w:rFonts w:hint="eastAsia"/>
                <w:sz w:val="21"/>
                <w:szCs w:val="21"/>
              </w:rPr>
              <w:t>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lang w:val="en-US" w:eastAsia="zh-CN"/>
              </w:rPr>
              <w:t>办公室</w:t>
            </w:r>
            <w:r>
              <w:rPr>
                <w:rFonts w:hint="eastAsia"/>
                <w:sz w:val="21"/>
                <w:szCs w:val="21"/>
              </w:rPr>
              <w:t>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w:t>
            </w:r>
            <w:r>
              <w:rPr>
                <w:rFonts w:hint="eastAsia"/>
                <w:sz w:val="21"/>
                <w:szCs w:val="21"/>
                <w:lang w:val="en-US" w:eastAsia="zh-CN"/>
              </w:rPr>
              <w:t>噪声、废气、</w:t>
            </w:r>
            <w:r>
              <w:rPr>
                <w:rFonts w:hint="eastAsia"/>
                <w:sz w:val="21"/>
                <w:szCs w:val="21"/>
              </w:rPr>
              <w:t>相关方施加影响等。</w:t>
            </w:r>
            <w:r>
              <w:rPr>
                <w:rFonts w:hint="eastAsia"/>
                <w:sz w:val="21"/>
                <w:szCs w:val="21"/>
                <w:lang w:val="en-US" w:eastAsia="zh-CN"/>
              </w:rPr>
              <w:t>提供有固废处置记录、相关方告知书及发放记录、环境检测报告。</w:t>
            </w:r>
            <w:r>
              <w:rPr>
                <w:rFonts w:hint="eastAsia"/>
                <w:sz w:val="21"/>
                <w:szCs w:val="21"/>
              </w:rPr>
              <w:t>查看办公区域干净整洁，</w:t>
            </w:r>
            <w:r>
              <w:rPr>
                <w:rFonts w:hint="eastAsia"/>
                <w:sz w:val="21"/>
                <w:szCs w:val="21"/>
                <w:lang w:val="en-US" w:eastAsia="zh-CN"/>
              </w:rPr>
              <w:t>配有灭火器。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sz w:val="21"/>
                <w:szCs w:val="21"/>
                <w:lang w:val="en-GB"/>
              </w:rPr>
              <w:t>编制应急准备和响应控制程序，识别的潜在意外紧急情况为火灾等。编制了应急预案，组织了消防演练，提供了应急预案演练记录。对应急预案进行了评价，可行。</w:t>
            </w:r>
            <w:r>
              <w:rPr>
                <w:rFonts w:hint="eastAsia"/>
                <w:sz w:val="21"/>
                <w:szCs w:val="21"/>
                <w:lang w:val="en-US" w:eastAsia="zh-CN"/>
              </w:rPr>
              <w:t>办公区域、车间</w:t>
            </w:r>
            <w:r>
              <w:rPr>
                <w:rFonts w:hint="eastAsia"/>
                <w:sz w:val="21"/>
                <w:szCs w:val="21"/>
              </w:rPr>
              <w:t>配置灭火器等消防设施</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default" w:ascii="宋体" w:hAnsi="宋体" w:eastAsia="宋体"/>
                <w:b/>
                <w:sz w:val="21"/>
                <w:szCs w:val="21"/>
                <w:lang w:val="en-US" w:eastAsia="zh-CN"/>
              </w:rPr>
            </w:pPr>
            <w:r>
              <w:rPr>
                <w:rFonts w:hint="eastAsia" w:ascii="宋体" w:hAnsi="宋体"/>
                <w:b/>
                <w:sz w:val="21"/>
                <w:szCs w:val="21"/>
                <w:lang w:val="en-US" w:eastAsia="zh-CN"/>
              </w:rPr>
              <w:t>按规定检验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季度</w:t>
            </w:r>
            <w:r>
              <w:rPr>
                <w:rFonts w:hint="eastAsia"/>
                <w:sz w:val="21"/>
                <w:szCs w:val="21"/>
              </w:rPr>
              <w:t>考核一次，查看20</w:t>
            </w:r>
            <w:r>
              <w:rPr>
                <w:rFonts w:hint="eastAsia"/>
                <w:sz w:val="21"/>
                <w:szCs w:val="21"/>
                <w:lang w:val="en-US" w:eastAsia="zh-CN"/>
              </w:rPr>
              <w:t>21</w:t>
            </w:r>
            <w:r>
              <w:rPr>
                <w:rFonts w:hint="eastAsia"/>
                <w:sz w:val="21"/>
                <w:szCs w:val="21"/>
              </w:rPr>
              <w:t>年</w:t>
            </w:r>
            <w:r>
              <w:rPr>
                <w:rFonts w:hint="eastAsia"/>
                <w:sz w:val="21"/>
                <w:szCs w:val="21"/>
                <w:lang w:val="en-US" w:eastAsia="zh-CN"/>
              </w:rPr>
              <w:t>1季度</w:t>
            </w:r>
            <w:r>
              <w:rPr>
                <w:rFonts w:hint="eastAsia"/>
                <w:sz w:val="21"/>
                <w:szCs w:val="21"/>
              </w:rPr>
              <w:t>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r>
              <w:rPr>
                <w:rFonts w:hint="eastAsia"/>
                <w:sz w:val="21"/>
                <w:szCs w:val="21"/>
              </w:rPr>
              <w:t>按照策划的安排于</w:t>
            </w:r>
            <w:r>
              <w:t>20</w:t>
            </w:r>
            <w:r>
              <w:rPr>
                <w:rFonts w:hint="eastAsia"/>
                <w:lang w:val="en-US" w:eastAsia="zh-CN"/>
              </w:rPr>
              <w:t>21年3月15-16日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2</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sz w:val="21"/>
                <w:szCs w:val="21"/>
              </w:rPr>
              <w:t>按照策划的安排于</w:t>
            </w:r>
            <w:r>
              <w:t>20</w:t>
            </w:r>
            <w:r>
              <w:rPr>
                <w:rFonts w:hint="eastAsia"/>
                <w:lang w:val="en-US" w:eastAsia="zh-CN"/>
              </w:rPr>
              <w:t>21</w:t>
            </w:r>
            <w:r>
              <w:rPr>
                <w:rFonts w:hint="eastAsia" w:cs="宋体"/>
              </w:rPr>
              <w:t>年</w:t>
            </w:r>
            <w:r>
              <w:rPr>
                <w:rFonts w:hint="eastAsia"/>
                <w:lang w:val="en-US" w:eastAsia="zh-CN"/>
              </w:rPr>
              <w:t>4</w:t>
            </w:r>
            <w:r>
              <w:rPr>
                <w:rFonts w:hint="eastAsia" w:cs="宋体"/>
              </w:rPr>
              <w:t>月</w:t>
            </w:r>
            <w:r>
              <w:rPr>
                <w:rFonts w:hint="eastAsia"/>
                <w:lang w:val="en-US" w:eastAsia="zh-CN"/>
              </w:rPr>
              <w:t>6</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rPr>
                <w:rFonts w:hint="default"/>
                <w:sz w:val="21"/>
                <w:szCs w:val="21"/>
                <w:lang w:val="en-US" w:eastAsia="zh-CN"/>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r>
              <w:rPr>
                <w:rFonts w:hint="eastAsia"/>
                <w:sz w:val="21"/>
                <w:szCs w:val="21"/>
                <w:lang w:val="en-US" w:eastAsia="zh-CN"/>
              </w:rPr>
              <w:t>提供2019年12月6日由嘉兴安联检测技术服务有限公司对噪声、废气、废水的检测，检测结论达标，报告编号：2019-H-534，详见附件.提供2020年11月12日由耐斯检测技术服务有限公司对废水的检测报告，检测结论达标，报告编号：检02202003732，详见附件，经查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r>
              <w:rPr>
                <w:rFonts w:hint="eastAsia" w:cs="Times New Roman"/>
                <w:szCs w:val="22"/>
                <w:lang w:val="en-US" w:eastAsia="zh-CN"/>
              </w:rPr>
              <w:t>提供</w:t>
            </w:r>
            <w:r>
              <w:rPr>
                <w:rFonts w:hint="eastAsia" w:ascii="Times New Roman" w:hAnsi="Times New Roman" w:cs="Times New Roman"/>
                <w:szCs w:val="22"/>
                <w:lang w:val="en-US" w:eastAsia="zh-CN"/>
              </w:rPr>
              <w:t>建设项目环境影响报告</w:t>
            </w:r>
            <w:r>
              <w:rPr>
                <w:rFonts w:hint="eastAsia" w:cs="Times New Roman"/>
                <w:szCs w:val="22"/>
                <w:lang w:val="en-US" w:eastAsia="zh-CN"/>
              </w:rPr>
              <w:t>表</w:t>
            </w:r>
            <w:r>
              <w:rPr>
                <w:rFonts w:hint="eastAsia" w:ascii="Times New Roman" w:hAnsi="Times New Roman" w:cs="Times New Roman"/>
                <w:szCs w:val="22"/>
                <w:lang w:val="en-US" w:eastAsia="zh-CN"/>
              </w:rPr>
              <w:t>、</w:t>
            </w:r>
            <w:r>
              <w:rPr>
                <w:rFonts w:hint="eastAsia" w:cs="Times New Roman"/>
                <w:szCs w:val="22"/>
                <w:lang w:val="en-US" w:eastAsia="zh-CN"/>
              </w:rPr>
              <w:t>环保局审批意见、验收</w:t>
            </w:r>
            <w:r>
              <w:rPr>
                <w:rFonts w:hint="eastAsia" w:ascii="Times New Roman" w:hAnsi="Times New Roman" w:cs="Times New Roman"/>
                <w:szCs w:val="22"/>
                <w:lang w:val="en-US" w:eastAsia="zh-CN"/>
              </w:rPr>
              <w:t>报告、</w:t>
            </w:r>
            <w:r>
              <w:rPr>
                <w:rFonts w:hint="eastAsia" w:cs="Times New Roman"/>
                <w:szCs w:val="22"/>
                <w:lang w:val="en-US" w:eastAsia="zh-CN"/>
              </w:rPr>
              <w:t>环保局验收意见</w:t>
            </w:r>
            <w:r>
              <w:rPr>
                <w:rFonts w:hint="eastAsia" w:cs="Times New Roman"/>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已完成</w:t>
            </w:r>
            <w:r>
              <w:rPr>
                <w:rFonts w:hint="eastAsia"/>
                <w:sz w:val="21"/>
                <w:szCs w:val="21"/>
              </w:rPr>
              <w:t>。</w:t>
            </w:r>
            <w:r>
              <w:rPr>
                <w:rFonts w:hint="eastAsia"/>
                <w:sz w:val="21"/>
                <w:szCs w:val="21"/>
                <w:lang w:eastAsia="zh-CN"/>
              </w:rPr>
              <w:t>纠正措施尚可。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方正仿宋简体" w:eastAsia="方正仿宋简体"/>
                <w:b/>
                <w:lang w:val="en-US" w:eastAsia="zh-CN"/>
              </w:rPr>
              <w:t>部门环境目标包括固废分类处置率100%，但未见固废分类处置设施。经现场核验已经设置了分类处置垃圾桶，按要求经常清理。整改有效。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5"/>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浙江澳华机电制造有限公司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5"/>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bookmarkStart w:id="30" w:name="_GoBack"/>
      <w:bookmarkEnd w:id="30"/>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1574800</wp:posOffset>
            </wp:positionH>
            <wp:positionV relativeFrom="paragraph">
              <wp:posOffset>207010</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1693545</wp:posOffset>
            </wp:positionH>
            <wp:positionV relativeFrom="paragraph">
              <wp:posOffset>83820</wp:posOffset>
            </wp:positionV>
            <wp:extent cx="838835" cy="549910"/>
            <wp:effectExtent l="0" t="0" r="12065" b="8890"/>
            <wp:wrapNone/>
            <wp:docPr id="2" name="图片 2" descr="34a49a556974bf51a9f3203c9cccc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4a49a556974bf51a9f3203c9cccc1b"/>
                    <pic:cNvPicPr>
                      <a:picLocks noChangeAspect="1"/>
                    </pic:cNvPicPr>
                  </pic:nvPicPr>
                  <pic:blipFill>
                    <a:blip r:embed="rId7"/>
                    <a:stretch>
                      <a:fillRect/>
                    </a:stretch>
                  </pic:blipFill>
                  <pic:spPr>
                    <a:xfrm>
                      <a:off x="0" y="0"/>
                      <a:ext cx="838835" cy="549910"/>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2021.4.21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382BE"/>
    <w:multiLevelType w:val="singleLevel"/>
    <w:tmpl w:val="96A382BE"/>
    <w:lvl w:ilvl="0" w:tentative="0">
      <w:start w:val="3"/>
      <w:numFmt w:val="decimal"/>
      <w:lvlText w:val="%1."/>
      <w:lvlJc w:val="left"/>
      <w:pPr>
        <w:tabs>
          <w:tab w:val="left" w:pos="312"/>
        </w:tabs>
      </w:pPr>
    </w:lvl>
  </w:abstractNum>
  <w:abstractNum w:abstractNumId="1">
    <w:nsid w:val="A836B5D8"/>
    <w:multiLevelType w:val="singleLevel"/>
    <w:tmpl w:val="A836B5D8"/>
    <w:lvl w:ilvl="0" w:tentative="0">
      <w:start w:val="4"/>
      <w:numFmt w:val="decimal"/>
      <w:suff w:val="nothing"/>
      <w:lvlText w:val="%1）"/>
      <w:lvlJc w:val="left"/>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7B1C6BF"/>
    <w:multiLevelType w:val="singleLevel"/>
    <w:tmpl w:val="67B1C6BF"/>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5E44A9"/>
    <w:rsid w:val="74D7628B"/>
    <w:rsid w:val="7E323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qFormat/>
    <w:locked/>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Lenovo</cp:lastModifiedBy>
  <cp:lastPrinted>2019-04-18T08:15:00Z</cp:lastPrinted>
  <dcterms:modified xsi:type="dcterms:W3CDTF">2021-04-20T14:31:14Z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A8E3EC93454544C090FA43C3E507DA64</vt:lpwstr>
  </property>
</Properties>
</file>