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0329-2021-QEO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四川杰尔泰石油科技有限责任公司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p>
            <w:pPr>
              <w:spacing w:line="240" w:lineRule="exact"/>
              <w:jc w:val="center"/>
              <w:rPr>
                <w:b/>
                <w:color w:val="000000"/>
                <w:sz w:val="20"/>
                <w:szCs w:val="20"/>
              </w:rPr>
            </w:pPr>
            <w:r>
              <w:rPr>
                <w:b/>
                <w:color w:val="000000"/>
                <w:sz w:val="20"/>
                <w:szCs w:val="20"/>
              </w:rPr>
              <w:t>O:34.06.00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r>
              <w:rPr>
                <w:b/>
                <w:color w:val="000000"/>
                <w:sz w:val="20"/>
                <w:szCs w:val="20"/>
              </w:rPr>
              <w:t>Q:34.06.00</w:t>
            </w:r>
          </w:p>
          <w:p>
            <w:pPr>
              <w:spacing w:line="240" w:lineRule="exact"/>
              <w:jc w:val="center"/>
              <w:rPr>
                <w:b/>
                <w:color w:val="000000"/>
                <w:sz w:val="20"/>
                <w:szCs w:val="20"/>
              </w:rPr>
            </w:pPr>
            <w:r>
              <w:rPr>
                <w:b/>
                <w:color w:val="000000"/>
                <w:sz w:val="20"/>
                <w:szCs w:val="20"/>
              </w:rPr>
              <w:t>E:34.06.00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冉景洲</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GB/28001-2011</w:t>
      </w:r>
      <w:r>
        <w:rPr>
          <w:rFonts w:hint="eastAsia" w:ascii="宋体" w:hAnsi="宋体"/>
          <w:b/>
          <w:color w:val="000000"/>
          <w:sz w:val="20"/>
          <w:szCs w:val="20"/>
          <w:lang w:val="en-US" w:eastAsia="zh-CN"/>
        </w:rPr>
        <w:t xml:space="preserve"> ■</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四川杰尔泰石油科技有限责任公司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四川省成都市新都区桂湖街道天官村7组56号附876号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四川省成都市新都工业区东区白云路789号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毕海夫</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15204260183</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郭成功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毕海夫</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Q：油气田环保技术服务</w:t>
            </w:r>
          </w:p>
          <w:p>
            <w:pPr>
              <w:spacing w:line="400" w:lineRule="exact"/>
              <w:rPr>
                <w:rFonts w:ascii="宋体" w:hAnsi="宋体"/>
                <w:b/>
                <w:color w:val="000000"/>
                <w:sz w:val="20"/>
                <w:szCs w:val="20"/>
              </w:rPr>
            </w:pPr>
            <w:r>
              <w:rPr>
                <w:rFonts w:ascii="宋体" w:hAnsi="宋体"/>
                <w:b/>
                <w:color w:val="000000"/>
                <w:sz w:val="20"/>
                <w:szCs w:val="20"/>
              </w:rPr>
              <w:t>E：油气田环保技术服务所涉及场所的相关环境管理活动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O：油气田环保技术服务所涉及场所的相关职业健康安全管理活动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Q：34.06.00</w:t>
            </w:r>
          </w:p>
          <w:p>
            <w:pPr>
              <w:spacing w:line="280" w:lineRule="exact"/>
              <w:rPr>
                <w:rFonts w:ascii="宋体"/>
                <w:b/>
                <w:color w:val="000000"/>
                <w:sz w:val="20"/>
                <w:szCs w:val="20"/>
              </w:rPr>
            </w:pPr>
            <w:r>
              <w:rPr>
                <w:rFonts w:ascii="宋体"/>
                <w:b/>
                <w:color w:val="000000"/>
                <w:sz w:val="20"/>
                <w:szCs w:val="20"/>
              </w:rPr>
              <w:t>E：34.06.00</w:t>
            </w:r>
          </w:p>
          <w:p>
            <w:pPr>
              <w:spacing w:line="280" w:lineRule="exact"/>
              <w:rPr>
                <w:rFonts w:ascii="宋体"/>
                <w:b/>
                <w:color w:val="000000"/>
                <w:sz w:val="20"/>
                <w:szCs w:val="20"/>
              </w:rPr>
            </w:pPr>
            <w:r>
              <w:rPr>
                <w:rFonts w:ascii="宋体"/>
                <w:b/>
                <w:color w:val="000000"/>
                <w:sz w:val="20"/>
                <w:szCs w:val="20"/>
              </w:rPr>
              <w:t>O：34.06.00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管理手册、程序文件、内部审核、管理评审等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综合部、技术部、市场部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280"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lang w:eastAsia="zh-CN"/>
              </w:rPr>
              <w:t>油气田环保技术服务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综合部</w:t>
            </w:r>
            <w:r>
              <w:rPr>
                <w:rFonts w:hint="eastAsia" w:ascii="宋体" w:hAnsi="宋体"/>
                <w:szCs w:val="21"/>
              </w:rPr>
              <w:t>、</w:t>
            </w:r>
            <w:r>
              <w:rPr>
                <w:rFonts w:hint="eastAsia" w:ascii="宋体" w:hAnsi="宋体"/>
                <w:szCs w:val="21"/>
                <w:lang w:eastAsia="zh-CN"/>
              </w:rPr>
              <w:t>技术部</w:t>
            </w:r>
            <w:r>
              <w:rPr>
                <w:rFonts w:hint="eastAsia" w:ascii="宋体" w:hAnsi="宋体"/>
                <w:szCs w:val="21"/>
              </w:rPr>
              <w:t>、市场部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lang w:eastAsia="zh-CN"/>
              </w:rPr>
              <w:t>四川省成都市新都工业区东区白云路789号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产品技术标准号：碎屑岩油田回注水标准、SY/T6524—2002石油工业作业场所劳动防护用具配备标准、SY/T6690-2008天然气井服务安全技术规范、GB18597-2013危险废物贮存污染控制标准</w:t>
            </w:r>
            <w:r>
              <w:rPr>
                <w:rFonts w:hint="eastAsia" w:ascii="宋体" w:hAnsi="宋体"/>
                <w:color w:val="000000"/>
                <w:spacing w:val="-10"/>
                <w:sz w:val="20"/>
                <w:szCs w:val="20"/>
                <w:highlight w:val="none"/>
                <w:lang w:val="en-US"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环境执行标准：污水排入城镇下水道水质标准（GB/T 31962-2015）、大气污染物综合排放标准（GB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rFonts w:hint="eastAsia"/>
                <w:b w:val="0"/>
                <w:bCs/>
                <w:sz w:val="20"/>
                <w:highlight w:val="none"/>
                <w:lang w:val="en-US" w:eastAsia="zh-CN"/>
              </w:rPr>
            </w:pPr>
            <w:r>
              <w:rPr>
                <w:rFonts w:hint="eastAsia"/>
                <w:b w:val="0"/>
                <w:bCs/>
                <w:sz w:val="20"/>
                <w:highlight w:val="none"/>
                <w:lang w:val="en-US" w:eastAsia="zh-CN"/>
              </w:rPr>
              <w:t>水基泥浆清洁化流程：</w:t>
            </w:r>
          </w:p>
          <w:p>
            <w:pPr>
              <w:snapToGrid w:val="0"/>
              <w:spacing w:line="280" w:lineRule="exact"/>
              <w:rPr>
                <w:rFonts w:hint="eastAsia"/>
                <w:b w:val="0"/>
                <w:bCs/>
                <w:sz w:val="20"/>
                <w:highlight w:val="none"/>
                <w:lang w:val="en-US" w:eastAsia="zh-CN"/>
              </w:rPr>
            </w:pPr>
            <w:r>
              <w:rPr>
                <w:rFonts w:hint="eastAsia"/>
                <w:b w:val="0"/>
                <w:bCs/>
                <w:sz w:val="20"/>
                <w:highlight w:val="none"/>
                <w:lang w:val="en-US" w:eastAsia="zh-CN"/>
              </w:rPr>
              <w:t>泥浆钻屑钻井固控→螺旋收集→一级分离→破胶脱稳→二级分离→岩屑收集</w:t>
            </w:r>
          </w:p>
          <w:p>
            <w:pPr>
              <w:snapToGrid w:val="0"/>
              <w:spacing w:line="280" w:lineRule="exact"/>
              <w:rPr>
                <w:rFonts w:hint="eastAsia"/>
                <w:b w:val="0"/>
                <w:bCs/>
                <w:sz w:val="20"/>
                <w:highlight w:val="none"/>
                <w:lang w:val="en-US" w:eastAsia="zh-CN"/>
              </w:rPr>
            </w:pPr>
            <w:r>
              <w:rPr>
                <w:rFonts w:hint="eastAsia"/>
                <w:b w:val="0"/>
                <w:bCs/>
                <w:sz w:val="20"/>
                <w:highlight w:val="none"/>
                <w:lang w:val="en-US" w:eastAsia="zh-CN"/>
              </w:rPr>
              <w:t>油基泥浆清洁化流程：</w:t>
            </w:r>
          </w:p>
          <w:p>
            <w:pPr>
              <w:rPr>
                <w:rFonts w:ascii="宋体"/>
                <w:color w:val="000000"/>
                <w:sz w:val="20"/>
                <w:szCs w:val="20"/>
              </w:rPr>
            </w:pPr>
            <w:r>
              <w:rPr>
                <w:rFonts w:hint="eastAsia"/>
                <w:b w:val="0"/>
                <w:bCs/>
                <w:sz w:val="20"/>
                <w:highlight w:val="none"/>
                <w:lang w:val="en-US" w:eastAsia="zh-CN"/>
              </w:rPr>
              <w:t>油基段钻屑固控→螺旋收集→岩屑输送甩干分离→离心分离→打包收集</w:t>
            </w:r>
          </w:p>
        </w:tc>
      </w:tr>
      <w:tr>
        <w:tblPrEx>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生产</w:t>
            </w:r>
            <w:r>
              <w:rPr>
                <w:rFonts w:hint="eastAsia" w:ascii="宋体" w:hAnsi="宋体"/>
                <w:color w:val="000000"/>
                <w:sz w:val="20"/>
                <w:szCs w:val="20"/>
              </w:rPr>
              <w:t>和服务提供的管理</w:t>
            </w:r>
            <w:bookmarkStart w:id="24" w:name="_GoBack"/>
            <w:bookmarkEnd w:id="24"/>
            <w:r>
              <w:rPr>
                <w:rFonts w:hint="eastAsia" w:ascii="宋体" w:hAnsi="宋体"/>
                <w:color w:val="000000"/>
                <w:sz w:val="20"/>
                <w:szCs w:val="20"/>
              </w:rPr>
              <w:t>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ascii="宋体" w:hAnsi="宋体"/>
                <w:color w:val="000000"/>
                <w:sz w:val="20"/>
                <w:szCs w:val="20"/>
                <w:lang w:val="en-US"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潜在火灾、固废排放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sz w:val="20"/>
                <w:szCs w:val="20"/>
              </w:rPr>
              <w:t>（1）环境因素识别与评价程序；（2）运行控制程序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ascii="宋体"/>
                <w:sz w:val="20"/>
                <w:szCs w:val="20"/>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不可接受风险有：</w:t>
            </w:r>
            <w:r>
              <w:rPr>
                <w:rFonts w:hint="eastAsia" w:ascii="宋体"/>
                <w:color w:val="000000"/>
                <w:sz w:val="20"/>
                <w:szCs w:val="20"/>
                <w:lang w:val="en-US" w:eastAsia="zh-CN"/>
              </w:rPr>
              <w:t>火灾、触电、意外伤害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sz w:val="20"/>
                <w:szCs w:val="20"/>
              </w:rPr>
              <w:t>（1）危险源识别与评价程序；（2）运行控制程序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360" w:lineRule="auto"/>
              <w:rPr>
                <w:rFonts w:hint="eastAsia" w:ascii="宋体" w:hAnsi="宋体"/>
                <w:b/>
                <w:color w:val="000000"/>
                <w:sz w:val="20"/>
                <w:szCs w:val="20"/>
                <w:lang w:val="en-US" w:eastAsia="zh-CN"/>
              </w:rPr>
            </w:pPr>
            <w:r>
              <w:rPr>
                <w:rFonts w:hint="eastAsia" w:ascii="宋体" w:hAnsi="宋体"/>
                <w:b/>
                <w:color w:val="000000"/>
                <w:sz w:val="20"/>
                <w:szCs w:val="20"/>
              </w:rPr>
              <w:t>重点审核过程：服务的控制、顾客满意</w:t>
            </w:r>
            <w:r>
              <w:rPr>
                <w:rFonts w:hint="eastAsia" w:ascii="宋体" w:hAnsi="宋体"/>
                <w:b/>
                <w:color w:val="000000"/>
                <w:sz w:val="20"/>
                <w:szCs w:val="20"/>
                <w:lang w:eastAsia="zh-CN"/>
              </w:rPr>
              <w:t>、</w:t>
            </w:r>
            <w:r>
              <w:rPr>
                <w:rFonts w:hint="eastAsia" w:ascii="宋体" w:hAnsi="宋体"/>
                <w:b/>
                <w:color w:val="000000"/>
                <w:sz w:val="20"/>
                <w:szCs w:val="20"/>
              </w:rPr>
              <w:t>服务放行、不合格产品和服务</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综合部、技术部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办公场所、服务场所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400" w:lineRule="exact"/>
              <w:rPr>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建立有《内部审核程序》，于20</w:t>
            </w:r>
            <w:r>
              <w:rPr>
                <w:rFonts w:hint="eastAsia"/>
                <w:szCs w:val="21"/>
                <w:lang w:val="en-US" w:eastAsia="zh-CN"/>
              </w:rPr>
              <w:t>21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5</w:t>
            </w:r>
            <w:r>
              <w:rPr>
                <w:rFonts w:hint="eastAsia"/>
                <w:szCs w:val="21"/>
              </w:rPr>
              <w:t>日进行了内部审核。</w:t>
            </w:r>
          </w:p>
          <w:p>
            <w:pPr>
              <w:spacing w:line="260" w:lineRule="exact"/>
              <w:rPr>
                <w:rFonts w:ascii="宋体" w:hAnsi="Times New Roman" w:eastAsia="宋体" w:cs="Times New Roman"/>
                <w:b/>
                <w:color w:val="000000"/>
                <w:kern w:val="2"/>
                <w:sz w:val="20"/>
                <w:szCs w:val="20"/>
                <w:lang w:val="en-US" w:eastAsia="zh-CN" w:bidi="ar-SA"/>
              </w:rPr>
            </w:pPr>
            <w:r>
              <w:rPr>
                <w:rFonts w:hint="eastAsia"/>
                <w:szCs w:val="21"/>
              </w:rPr>
              <w:t>内部审核组由：</w:t>
            </w:r>
            <w:r>
              <w:rPr>
                <w:rFonts w:hint="eastAsia" w:ascii="宋体" w:hAnsi="宋体"/>
                <w:szCs w:val="21"/>
              </w:rPr>
              <w:t>组长A：毕海夫 组员B：</w:t>
            </w:r>
            <w:r>
              <w:rPr>
                <w:rFonts w:hint="eastAsia" w:ascii="宋体" w:hAnsi="宋体"/>
                <w:szCs w:val="21"/>
                <w:lang w:val="en-US" w:eastAsia="zh-CN"/>
              </w:rPr>
              <w:t>韩超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 xml:space="preserve">    </w:t>
            </w:r>
          </w:p>
          <w:p>
            <w:pPr>
              <w:spacing w:line="400" w:lineRule="exact"/>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eastAsia" w:ascii="Times New Roman" w:hAnsi="Times New Roman" w:cs="Times New Roman"/>
                <w:szCs w:val="21"/>
                <w:lang w:eastAsia="zh-CN"/>
              </w:rPr>
              <w:t>）</w:t>
            </w:r>
            <w:r>
              <w:rPr>
                <w:rFonts w:hint="eastAsia" w:ascii="Times New Roman" w:hAnsi="Times New Roman" w:cs="Times New Roman"/>
                <w:szCs w:val="21"/>
              </w:rPr>
              <w:t>审核范围:管理体系涉及的公司所有部门、服务场所及活动场所。</w:t>
            </w:r>
          </w:p>
          <w:p>
            <w:pPr>
              <w:spacing w:line="400" w:lineRule="exact"/>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w:t>
            </w:r>
            <w:r>
              <w:rPr>
                <w:rFonts w:hint="eastAsia" w:ascii="Times New Roman" w:hAnsi="Times New Roman" w:cs="Times New Roman"/>
                <w:szCs w:val="21"/>
                <w:lang w:eastAsia="zh-CN"/>
              </w:rPr>
              <w:t>）</w:t>
            </w:r>
            <w:r>
              <w:rPr>
                <w:rFonts w:hint="eastAsia" w:ascii="Times New Roman" w:hAnsi="Times New Roman" w:cs="Times New Roman"/>
                <w:szCs w:val="21"/>
              </w:rPr>
              <w:t>审核准则：a.</w:t>
            </w:r>
            <w:r>
              <w:rPr>
                <w:rFonts w:hint="eastAsia" w:ascii="Times New Roman" w:hAnsi="Times New Roman" w:cs="Times New Roman"/>
                <w:szCs w:val="21"/>
                <w:lang w:val="en-US" w:eastAsia="zh-CN"/>
              </w:rPr>
              <w:t>.</w:t>
            </w:r>
            <w:r>
              <w:rPr>
                <w:rFonts w:hint="eastAsia" w:ascii="Times New Roman" w:hAnsi="Times New Roman" w:cs="Times New Roman"/>
                <w:szCs w:val="21"/>
              </w:rPr>
              <w:t xml:space="preserve">GB/T 19001:2016、GB/T 24001-2016、GB/T </w:t>
            </w:r>
            <w:r>
              <w:rPr>
                <w:rFonts w:hint="eastAsia" w:ascii="Times New Roman" w:hAnsi="Times New Roman" w:cs="Times New Roman"/>
                <w:szCs w:val="21"/>
                <w:lang w:val="en-US" w:eastAsia="zh-CN"/>
              </w:rPr>
              <w:t>45</w:t>
            </w:r>
            <w:r>
              <w:rPr>
                <w:rFonts w:hint="eastAsia" w:ascii="Times New Roman" w:hAnsi="Times New Roman" w:cs="Times New Roman"/>
                <w:szCs w:val="21"/>
              </w:rPr>
              <w:t>001-20</w:t>
            </w:r>
            <w:r>
              <w:rPr>
                <w:rFonts w:hint="eastAsia" w:ascii="Times New Roman" w:hAnsi="Times New Roman" w:cs="Times New Roman"/>
                <w:szCs w:val="21"/>
                <w:lang w:val="en-US" w:eastAsia="zh-CN"/>
              </w:rPr>
              <w:t>20</w:t>
            </w:r>
            <w:r>
              <w:rPr>
                <w:rFonts w:hint="eastAsia" w:ascii="Times New Roman" w:hAnsi="Times New Roman" w:cs="Times New Roman"/>
                <w:szCs w:val="21"/>
              </w:rPr>
              <w:t>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 xml:space="preserve">   </w:t>
            </w:r>
          </w:p>
          <w:p>
            <w:pPr>
              <w:spacing w:line="240" w:lineRule="auto"/>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本次内审对标准体系文件管理手册、体系文件进行了全面检查，通过审核可以看出管理体系已基本进入了正常状态，但仍存在一些问题，需要完善加强各类人员的培训。</w:t>
            </w:r>
          </w:p>
          <w:p>
            <w:pPr>
              <w:spacing w:line="240" w:lineRule="auto"/>
              <w:rPr>
                <w:rFonts w:hint="eastAsia" w:ascii="Times New Roman" w:hAnsi="Times New Roman" w:cs="Times New Roman"/>
                <w:szCs w:val="21"/>
              </w:rPr>
            </w:pPr>
            <w:r>
              <w:rPr>
                <w:rFonts w:hint="eastAsia" w:ascii="Times New Roman" w:hAnsi="Times New Roman" w:cs="Times New Roman"/>
                <w:szCs w:val="21"/>
              </w:rPr>
              <w:t>各部门需要对内审开出的不符合项报告认真整改，并做到举一反三，以点带面，通过纠正预防措施的执行，使管理体系正常而有效运行。</w:t>
            </w:r>
          </w:p>
          <w:p>
            <w:pPr>
              <w:spacing w:line="240" w:lineRule="auto"/>
              <w:rPr>
                <w:rFonts w:hint="default" w:ascii="宋体" w:hAnsi="宋体" w:eastAsia="宋体" w:cs="Times New Roman"/>
                <w:b/>
                <w:color w:val="000000"/>
                <w:kern w:val="2"/>
                <w:sz w:val="20"/>
                <w:szCs w:val="20"/>
                <w:lang w:val="en-US" w:eastAsia="zh-CN" w:bidi="ar-SA"/>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建立有《管理评审程序》，于</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eastAsia="zh-CN"/>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szCs w:val="21"/>
          <w:lang w:eastAsia="zh-CN"/>
        </w:rPr>
      </w:pPr>
      <w:r>
        <w:rPr>
          <w:rFonts w:ascii="宋体" w:hAnsi="宋体"/>
          <w:b/>
          <w:color w:val="000000"/>
          <w:sz w:val="20"/>
          <w:szCs w:val="20"/>
        </w:rPr>
        <w:t>QMS:</w:t>
      </w:r>
      <w:r>
        <w:rPr>
          <w:rFonts w:hint="eastAsia" w:ascii="宋体" w:hAnsi="宋体"/>
          <w:szCs w:val="21"/>
          <w:lang w:eastAsia="zh-CN"/>
        </w:rPr>
        <w:t>油气田环保技术服务</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b w:val="0"/>
          <w:bCs/>
          <w:color w:val="000000"/>
          <w:sz w:val="20"/>
          <w:szCs w:val="20"/>
          <w:lang w:eastAsia="zh-CN"/>
        </w:rPr>
        <w:t>油气田环保技术服务</w:t>
      </w:r>
      <w:r>
        <w:rPr>
          <w:rFonts w:hint="eastAsia" w:ascii="宋体" w:hAnsi="宋体"/>
          <w:b w:val="0"/>
          <w:bCs/>
          <w:color w:val="000000"/>
          <w:sz w:val="20"/>
          <w:szCs w:val="20"/>
        </w:rPr>
        <w:t>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b w:val="0"/>
          <w:bCs/>
          <w:color w:val="000000"/>
          <w:sz w:val="20"/>
          <w:szCs w:val="20"/>
          <w:lang w:val="en-GB" w:eastAsia="zh-CN"/>
        </w:rPr>
        <w:t>油气田环保技术服务</w:t>
      </w:r>
      <w:r>
        <w:rPr>
          <w:rFonts w:hint="eastAsia" w:ascii="宋体" w:hAnsi="宋体"/>
          <w:b w:val="0"/>
          <w:bCs/>
          <w:color w:val="000000"/>
          <w:sz w:val="20"/>
          <w:szCs w:val="20"/>
          <w:lang w:val="en-GB"/>
        </w:rPr>
        <w:t>所涉及场所的相关职业健康安全管理活动</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83" w:firstLineChars="400"/>
        <w:rPr>
          <w:rFonts w:ascii="宋体"/>
          <w:b/>
          <w:bCs/>
          <w:color w:val="000000"/>
          <w:sz w:val="26"/>
          <w:szCs w:val="26"/>
        </w:rPr>
      </w:pPr>
      <w:r>
        <w:rPr>
          <w:rFonts w:hint="eastAsia"/>
          <w:b/>
          <w:sz w:val="22"/>
          <w:szCs w:val="22"/>
        </w:rPr>
        <w:drawing>
          <wp:anchor distT="0" distB="0" distL="114300" distR="114300" simplePos="0" relativeHeight="251661312" behindDoc="1" locked="0" layoutInCell="1" allowOverlap="1">
            <wp:simplePos x="0" y="0"/>
            <wp:positionH relativeFrom="column">
              <wp:posOffset>1894205</wp:posOffset>
            </wp:positionH>
            <wp:positionV relativeFrom="paragraph">
              <wp:posOffset>22225</wp:posOffset>
            </wp:positionV>
            <wp:extent cx="621030" cy="389255"/>
            <wp:effectExtent l="0" t="0" r="3810" b="698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2336" behindDoc="0" locked="0" layoutInCell="1" allowOverlap="1">
            <wp:simplePos x="0" y="0"/>
            <wp:positionH relativeFrom="column">
              <wp:posOffset>2672080</wp:posOffset>
            </wp:positionH>
            <wp:positionV relativeFrom="paragraph">
              <wp:posOffset>110490</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eastAsia="宋体"/>
          <w:sz w:val="22"/>
          <w:szCs w:val="22"/>
          <w:lang w:eastAsia="zh-CN"/>
        </w:rPr>
        <w:drawing>
          <wp:anchor distT="0" distB="0" distL="114300" distR="114300" simplePos="0" relativeHeight="251663360" behindDoc="1" locked="0" layoutInCell="1" allowOverlap="1">
            <wp:simplePos x="0" y="0"/>
            <wp:positionH relativeFrom="column">
              <wp:posOffset>1849120</wp:posOffset>
            </wp:positionH>
            <wp:positionV relativeFrom="paragraph">
              <wp:posOffset>22225</wp:posOffset>
            </wp:positionV>
            <wp:extent cx="590550" cy="431800"/>
            <wp:effectExtent l="0" t="0" r="3810" b="10160"/>
            <wp:wrapNone/>
            <wp:docPr id="13" name="图片 13" descr="97bfdd5f0abd6efcdf2006ab13cd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7bfdd5f0abd6efcdf2006ab13cd975"/>
                    <pic:cNvPicPr>
                      <a:picLocks noChangeAspect="1"/>
                    </pic:cNvPicPr>
                  </pic:nvPicPr>
                  <pic:blipFill>
                    <a:blip r:embed="rId8"/>
                    <a:stretch>
                      <a:fillRect/>
                    </a:stretch>
                  </pic:blipFill>
                  <pic:spPr>
                    <a:xfrm>
                      <a:off x="0" y="0"/>
                      <a:ext cx="590550" cy="4318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2021.4.18</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sz w:val="22"/>
                <w:szCs w:val="22"/>
              </w:rPr>
              <w:drawing>
                <wp:anchor distT="0" distB="0" distL="114300" distR="114300" simplePos="0" relativeHeight="251664384" behindDoc="1" locked="0" layoutInCell="1" allowOverlap="1">
                  <wp:simplePos x="0" y="0"/>
                  <wp:positionH relativeFrom="column">
                    <wp:posOffset>614045</wp:posOffset>
                  </wp:positionH>
                  <wp:positionV relativeFrom="paragraph">
                    <wp:posOffset>124460</wp:posOffset>
                  </wp:positionV>
                  <wp:extent cx="621030" cy="389255"/>
                  <wp:effectExtent l="0" t="0" r="3810" b="6985"/>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rFonts w:hint="default" w:eastAsia="宋体"/>
                <w:b/>
                <w:color w:val="000000"/>
                <w:sz w:val="22"/>
                <w:szCs w:val="22"/>
                <w:lang w:val="en-US" w:eastAsia="zh-CN"/>
              </w:rPr>
            </w:pPr>
            <w:r>
              <w:rPr>
                <w:rFonts w:hint="eastAsia"/>
                <w:b/>
                <w:color w:val="000000"/>
                <w:sz w:val="22"/>
                <w:szCs w:val="22"/>
              </w:rPr>
              <w:t xml:space="preserve">日期： </w:t>
            </w:r>
            <w:r>
              <w:rPr>
                <w:rFonts w:hint="eastAsia"/>
                <w:b/>
                <w:color w:val="000000"/>
                <w:sz w:val="22"/>
                <w:szCs w:val="22"/>
                <w:lang w:val="en-US" w:eastAsia="zh-CN"/>
              </w:rPr>
              <w:t>2021年4月18日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default" w:eastAsia="宋体"/>
                <w:b/>
                <w:color w:val="000000"/>
                <w:sz w:val="22"/>
                <w:szCs w:val="22"/>
                <w:lang w:val="en-US" w:eastAsia="zh-CN"/>
              </w:rPr>
            </w:pPr>
            <w:r>
              <w:rPr>
                <w:rFonts w:hint="eastAsia"/>
                <w:b/>
                <w:color w:val="000000"/>
                <w:sz w:val="22"/>
                <w:szCs w:val="22"/>
              </w:rPr>
              <w:t>受审核方确认：         日期：</w:t>
            </w:r>
            <w:r>
              <w:rPr>
                <w:rFonts w:hint="eastAsia"/>
                <w:b/>
                <w:color w:val="000000"/>
                <w:sz w:val="22"/>
                <w:szCs w:val="22"/>
                <w:lang w:val="en-US" w:eastAsia="zh-CN"/>
              </w:rPr>
              <w:t>2021年4月18日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105" w:firstLineChars="50"/>
              <w:rPr>
                <w:b/>
                <w:color w:val="000000"/>
                <w:sz w:val="18"/>
                <w:szCs w:val="18"/>
              </w:rPr>
            </w:pPr>
            <w:r>
              <w:rPr>
                <w:rFonts w:hint="eastAsia"/>
                <w:b/>
                <w:color w:val="00000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sz w:val="22"/>
                <w:szCs w:val="22"/>
              </w:rPr>
              <w:drawing>
                <wp:anchor distT="0" distB="0" distL="114300" distR="114300" simplePos="0" relativeHeight="251665408" behindDoc="1" locked="0" layoutInCell="1" allowOverlap="1">
                  <wp:simplePos x="0" y="0"/>
                  <wp:positionH relativeFrom="column">
                    <wp:posOffset>548640</wp:posOffset>
                  </wp:positionH>
                  <wp:positionV relativeFrom="paragraph">
                    <wp:posOffset>159385</wp:posOffset>
                  </wp:positionV>
                  <wp:extent cx="621030" cy="389255"/>
                  <wp:effectExtent l="0" t="0" r="3810" b="6985"/>
                  <wp:wrapNone/>
                  <wp:docPr id="5"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新文档 2020-01-09 10.59.53_副本.jpg"/>
                          <pic:cNvPicPr>
                            <a:picLocks noChangeAspect="1" noChangeArrowheads="1"/>
                          </pic:cNvPicPr>
                        </pic:nvPicPr>
                        <pic:blipFill>
                          <a:blip r:embed="rId6" cstate="print"/>
                          <a:srcRect/>
                          <a:stretch>
                            <a:fillRect/>
                          </a:stretch>
                        </pic:blipFill>
                        <pic:spPr>
                          <a:xfrm>
                            <a:off x="0" y="0"/>
                            <a:ext cx="621030" cy="389255"/>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9A6A1F"/>
    <w:rsid w:val="48094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yuer</cp:lastModifiedBy>
  <dcterms:modified xsi:type="dcterms:W3CDTF">2021-06-03T06:42:58Z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09997D7CD50143A08D42BA2A8C0CCA9A</vt:lpwstr>
  </property>
</Properties>
</file>