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34"/>
        <w:gridCol w:w="416"/>
        <w:gridCol w:w="356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四川杰尔泰石油科技有限责任公司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0329-2021-QEO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毕海夫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15204260183</w:t>
            </w:r>
            <w:bookmarkEnd w:id="6"/>
          </w:p>
        </w:tc>
        <w:tc>
          <w:tcPr>
            <w:tcW w:w="7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</w:rPr>
              <w:t>郭成功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18" w:type="dxa"/>
            <w:gridSpan w:val="2"/>
            <w:vMerge w:val="continue"/>
            <w:vAlign w:val="center"/>
          </w:tcPr>
          <w:p/>
        </w:tc>
        <w:tc>
          <w:tcPr>
            <w:tcW w:w="2070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Q：油气田环保技术服务</w:t>
            </w:r>
          </w:p>
          <w:p>
            <w:r>
              <w:t>E：油气田环保技术服务所涉及场所的相关环境管理活动</w:t>
            </w:r>
          </w:p>
          <w:p>
            <w:r>
              <w:t>O：油气田环保技术服务所涉及场所的相关职业健康安全管理活动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Q：34.06.00</w:t>
            </w:r>
          </w:p>
          <w:p>
            <w:r>
              <w:t>E：34.06.00</w:t>
            </w:r>
          </w:p>
          <w:p>
            <w:r>
              <w:t>O：34.06.00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2021年04月18日 下午至2021年04月18日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070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52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70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2021.4.17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54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9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54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9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29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2021.04.18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杨珍全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张心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7" w:hRule="atLeas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1.通过对受审核方的管理、设计现场巡视和观察，从总体上初步判断受审 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.了解确认受审核方的过程（包括关键过程、特殊过程）识别及控制状况。确认受审核方针对这些过程策划建立了哪些文件、记录。确认相关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.适用法律法规、技术标准识别的充分性，收集合规性的证据。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color w:val="000000" w:themeColor="text1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color w:val="000000" w:themeColor="text1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执行</w:t>
            </w:r>
            <w:r>
              <w:rPr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张心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张心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冉景洲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3771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yuer</cp:lastModifiedBy>
  <cp:lastPrinted>2019-03-27T03:10:00Z</cp:lastPrinted>
  <dcterms:modified xsi:type="dcterms:W3CDTF">2021-05-31T12:19:36Z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2FE66BB40A2944D584BFDB66F5364131</vt:lpwstr>
  </property>
</Properties>
</file>