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受审核方：茂县跃发化工有限公司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88"/>
        <w:gridCol w:w="1288"/>
        <w:gridCol w:w="2325"/>
        <w:gridCol w:w="627"/>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88" w:type="dxa"/>
            <w:vAlign w:val="center"/>
          </w:tcPr>
          <w:p>
            <w:pPr>
              <w:jc w:val="center"/>
              <w:rPr>
                <w:b/>
                <w:sz w:val="21"/>
                <w:szCs w:val="21"/>
              </w:rPr>
            </w:pPr>
            <w:r>
              <w:rPr>
                <w:rFonts w:hint="eastAsia"/>
                <w:b/>
                <w:sz w:val="21"/>
                <w:szCs w:val="21"/>
              </w:rPr>
              <w:t>职务</w:t>
            </w:r>
          </w:p>
        </w:tc>
        <w:tc>
          <w:tcPr>
            <w:tcW w:w="1288" w:type="dxa"/>
            <w:vAlign w:val="center"/>
          </w:tcPr>
          <w:p>
            <w:pPr>
              <w:jc w:val="center"/>
              <w:rPr>
                <w:b/>
                <w:sz w:val="21"/>
                <w:szCs w:val="21"/>
              </w:rPr>
            </w:pPr>
            <w:r>
              <w:rPr>
                <w:rFonts w:hint="eastAsia"/>
                <w:b/>
                <w:sz w:val="21"/>
                <w:szCs w:val="21"/>
              </w:rPr>
              <w:t>注册级别</w:t>
            </w:r>
          </w:p>
        </w:tc>
        <w:tc>
          <w:tcPr>
            <w:tcW w:w="2325" w:type="dxa"/>
            <w:vAlign w:val="center"/>
          </w:tcPr>
          <w:p>
            <w:pPr>
              <w:jc w:val="center"/>
              <w:rPr>
                <w:b/>
                <w:sz w:val="21"/>
                <w:szCs w:val="21"/>
              </w:rPr>
            </w:pPr>
            <w:r>
              <w:rPr>
                <w:rFonts w:hint="eastAsia"/>
                <w:b/>
                <w:sz w:val="21"/>
                <w:szCs w:val="21"/>
              </w:rPr>
              <w:t>审核员注册号</w:t>
            </w:r>
          </w:p>
        </w:tc>
        <w:tc>
          <w:tcPr>
            <w:tcW w:w="1362"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288" w:type="dxa"/>
            <w:vAlign w:val="center"/>
          </w:tcPr>
          <w:p>
            <w:pPr>
              <w:jc w:val="center"/>
              <w:rPr>
                <w:b/>
                <w:sz w:val="21"/>
                <w:szCs w:val="21"/>
              </w:rPr>
            </w:pPr>
            <w:r>
              <w:rPr>
                <w:b/>
                <w:sz w:val="21"/>
                <w:szCs w:val="21"/>
              </w:rPr>
              <w:t>组长</w:t>
            </w:r>
          </w:p>
        </w:tc>
        <w:tc>
          <w:tcPr>
            <w:tcW w:w="1288" w:type="dxa"/>
            <w:vAlign w:val="center"/>
          </w:tcPr>
          <w:p>
            <w:pPr>
              <w:jc w:val="center"/>
              <w:rPr>
                <w:b/>
                <w:sz w:val="21"/>
                <w:szCs w:val="21"/>
              </w:rPr>
            </w:pPr>
            <w:r>
              <w:rPr>
                <w:b/>
                <w:sz w:val="21"/>
                <w:szCs w:val="21"/>
              </w:rPr>
              <w:t>审核员</w:t>
            </w:r>
          </w:p>
        </w:tc>
        <w:tc>
          <w:tcPr>
            <w:tcW w:w="2325" w:type="dxa"/>
            <w:vAlign w:val="center"/>
          </w:tcPr>
          <w:p>
            <w:pPr>
              <w:jc w:val="center"/>
              <w:rPr>
                <w:b/>
                <w:sz w:val="21"/>
                <w:szCs w:val="21"/>
              </w:rPr>
            </w:pPr>
            <w:r>
              <w:rPr>
                <w:b/>
                <w:sz w:val="21"/>
                <w:szCs w:val="21"/>
              </w:rPr>
              <w:t>2019-N1QMS-3093566</w:t>
            </w:r>
          </w:p>
        </w:tc>
        <w:tc>
          <w:tcPr>
            <w:tcW w:w="1362" w:type="dxa"/>
            <w:gridSpan w:val="2"/>
            <w:vAlign w:val="center"/>
          </w:tcPr>
          <w:p>
            <w:pPr>
              <w:jc w:val="center"/>
              <w:rPr>
                <w:b/>
                <w:sz w:val="21"/>
                <w:szCs w:val="21"/>
              </w:rPr>
            </w:pPr>
            <w:r>
              <w:rPr>
                <w:b/>
                <w:sz w:val="21"/>
                <w:szCs w:val="21"/>
              </w:rPr>
              <w:t>17.01.00</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288" w:type="dxa"/>
            <w:vAlign w:val="center"/>
          </w:tcPr>
          <w:p>
            <w:pPr>
              <w:jc w:val="center"/>
              <w:rPr>
                <w:b/>
                <w:sz w:val="21"/>
                <w:szCs w:val="21"/>
              </w:rPr>
            </w:pPr>
            <w:r>
              <w:rPr>
                <w:b/>
                <w:sz w:val="21"/>
                <w:szCs w:val="21"/>
              </w:rPr>
              <w:t>组员</w:t>
            </w:r>
          </w:p>
        </w:tc>
        <w:tc>
          <w:tcPr>
            <w:tcW w:w="1288" w:type="dxa"/>
            <w:vAlign w:val="center"/>
          </w:tcPr>
          <w:p>
            <w:pPr>
              <w:jc w:val="center"/>
              <w:rPr>
                <w:b/>
                <w:sz w:val="21"/>
                <w:szCs w:val="21"/>
              </w:rPr>
            </w:pPr>
            <w:r>
              <w:rPr>
                <w:b/>
                <w:sz w:val="21"/>
                <w:szCs w:val="21"/>
              </w:rPr>
              <w:t>审核员</w:t>
            </w:r>
          </w:p>
        </w:tc>
        <w:tc>
          <w:tcPr>
            <w:tcW w:w="2325" w:type="dxa"/>
            <w:vAlign w:val="center"/>
          </w:tcPr>
          <w:p>
            <w:pPr>
              <w:jc w:val="center"/>
              <w:rPr>
                <w:b/>
                <w:sz w:val="21"/>
                <w:szCs w:val="21"/>
              </w:rPr>
            </w:pPr>
            <w:r>
              <w:rPr>
                <w:b/>
                <w:sz w:val="21"/>
                <w:szCs w:val="21"/>
              </w:rPr>
              <w:t>2019-N1QMS-1242345</w:t>
            </w:r>
          </w:p>
        </w:tc>
        <w:tc>
          <w:tcPr>
            <w:tcW w:w="1362"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288" w:type="dxa"/>
          </w:tcPr>
          <w:p>
            <w:pPr>
              <w:rPr>
                <w:b/>
                <w:sz w:val="21"/>
                <w:szCs w:val="21"/>
              </w:rPr>
            </w:pPr>
          </w:p>
        </w:tc>
        <w:tc>
          <w:tcPr>
            <w:tcW w:w="1288" w:type="dxa"/>
          </w:tcPr>
          <w:p>
            <w:pPr>
              <w:rPr>
                <w:b/>
                <w:sz w:val="21"/>
                <w:szCs w:val="21"/>
              </w:rPr>
            </w:pPr>
          </w:p>
        </w:tc>
        <w:tc>
          <w:tcPr>
            <w:tcW w:w="2325" w:type="dxa"/>
          </w:tcPr>
          <w:p>
            <w:pPr>
              <w:rPr>
                <w:b/>
                <w:sz w:val="21"/>
                <w:szCs w:val="21"/>
              </w:rPr>
            </w:pPr>
          </w:p>
        </w:tc>
        <w:tc>
          <w:tcPr>
            <w:tcW w:w="136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288" w:type="dxa"/>
          </w:tcPr>
          <w:p>
            <w:pPr>
              <w:rPr>
                <w:b/>
                <w:sz w:val="21"/>
                <w:szCs w:val="21"/>
              </w:rPr>
            </w:pPr>
          </w:p>
        </w:tc>
        <w:tc>
          <w:tcPr>
            <w:tcW w:w="1288" w:type="dxa"/>
          </w:tcPr>
          <w:p>
            <w:pPr>
              <w:rPr>
                <w:b/>
                <w:sz w:val="21"/>
                <w:szCs w:val="21"/>
              </w:rPr>
            </w:pPr>
          </w:p>
        </w:tc>
        <w:tc>
          <w:tcPr>
            <w:tcW w:w="2325" w:type="dxa"/>
          </w:tcPr>
          <w:p>
            <w:pPr>
              <w:rPr>
                <w:b/>
                <w:sz w:val="21"/>
                <w:szCs w:val="21"/>
              </w:rPr>
            </w:pPr>
          </w:p>
        </w:tc>
        <w:tc>
          <w:tcPr>
            <w:tcW w:w="136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288" w:type="dxa"/>
          </w:tcPr>
          <w:p>
            <w:pPr>
              <w:rPr>
                <w:b/>
                <w:sz w:val="21"/>
                <w:szCs w:val="21"/>
              </w:rPr>
            </w:pPr>
          </w:p>
        </w:tc>
        <w:tc>
          <w:tcPr>
            <w:tcW w:w="1288" w:type="dxa"/>
          </w:tcPr>
          <w:p>
            <w:pPr>
              <w:rPr>
                <w:b/>
                <w:sz w:val="21"/>
                <w:szCs w:val="21"/>
              </w:rPr>
            </w:pPr>
          </w:p>
        </w:tc>
        <w:tc>
          <w:tcPr>
            <w:tcW w:w="2325" w:type="dxa"/>
          </w:tcPr>
          <w:p>
            <w:pPr>
              <w:rPr>
                <w:b/>
                <w:sz w:val="21"/>
                <w:szCs w:val="21"/>
              </w:rPr>
            </w:pPr>
          </w:p>
        </w:tc>
        <w:tc>
          <w:tcPr>
            <w:tcW w:w="136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88" w:type="dxa"/>
            <w:vAlign w:val="center"/>
          </w:tcPr>
          <w:p>
            <w:pPr>
              <w:jc w:val="center"/>
              <w:rPr>
                <w:b/>
                <w:sz w:val="21"/>
                <w:szCs w:val="21"/>
              </w:rPr>
            </w:pPr>
            <w:r>
              <w:rPr>
                <w:rFonts w:hint="eastAsia"/>
                <w:b/>
                <w:sz w:val="21"/>
                <w:szCs w:val="21"/>
              </w:rPr>
              <w:t>角色</w:t>
            </w:r>
          </w:p>
        </w:tc>
        <w:tc>
          <w:tcPr>
            <w:tcW w:w="6704"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288" w:type="dxa"/>
            <w:vAlign w:val="center"/>
          </w:tcPr>
          <w:p>
            <w:pPr>
              <w:jc w:val="center"/>
              <w:rPr>
                <w:b/>
                <w:sz w:val="21"/>
                <w:szCs w:val="21"/>
              </w:rPr>
            </w:pPr>
          </w:p>
        </w:tc>
        <w:tc>
          <w:tcPr>
            <w:tcW w:w="6704"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88" w:type="dxa"/>
            <w:vAlign w:val="center"/>
          </w:tcPr>
          <w:p>
            <w:pPr>
              <w:jc w:val="center"/>
              <w:rPr>
                <w:b/>
              </w:rPr>
            </w:pPr>
          </w:p>
        </w:tc>
        <w:tc>
          <w:tcPr>
            <w:tcW w:w="6704"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88" w:type="dxa"/>
            <w:vAlign w:val="center"/>
          </w:tcPr>
          <w:p>
            <w:pPr>
              <w:jc w:val="center"/>
              <w:rPr>
                <w:b/>
              </w:rPr>
            </w:pPr>
          </w:p>
        </w:tc>
        <w:tc>
          <w:tcPr>
            <w:tcW w:w="6704"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w:t>
      </w:r>
      <w:r>
        <w:rPr>
          <w:rFonts w:hint="eastAsia"/>
          <w:b/>
          <w:sz w:val="21"/>
          <w:szCs w:val="21"/>
          <w:u w:val="single"/>
        </w:rPr>
        <w:t>监督</w:t>
      </w:r>
      <w:r>
        <w:rPr>
          <w:rFonts w:hint="eastAsia"/>
          <w:b/>
          <w:sz w:val="21"/>
          <w:szCs w:val="21"/>
          <w:u w:val="single"/>
          <w:lang w:val="en-US" w:eastAsia="zh-CN"/>
        </w:rPr>
        <w:t>2</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0" w:name="组织名称Add"/>
            <w:r>
              <w:rPr>
                <w:rFonts w:ascii="宋体"/>
                <w:b/>
                <w:color w:val="auto"/>
                <w:sz w:val="21"/>
              </w:rPr>
              <w:t>茂县跃发化工有限公司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1" w:name="体系人数"/>
            <w:r>
              <w:rPr>
                <w:color w:val="000000"/>
                <w:szCs w:val="21"/>
              </w:rPr>
              <w:t>146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茂县土门乡太安村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茂县土门乡太安村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茂县土门乡太安村</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李想</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18081920790</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陈远跃</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ascii="宋体" w:hAnsi="宋体"/>
                <w:b/>
                <w:sz w:val="21"/>
                <w:szCs w:val="21"/>
              </w:rPr>
              <w:t>陈元林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李想</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2021年04月23日 上午至2021年04月23日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硅铁的生产</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17.01.00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2022-01-17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2020</w:t>
            </w:r>
            <w:r>
              <w:rPr>
                <w:rFonts w:hint="eastAsia" w:ascii="宋体" w:hAnsi="宋体"/>
                <w:b/>
                <w:sz w:val="21"/>
                <w:szCs w:val="21"/>
                <w:lang w:val="en-US" w:eastAsia="zh-CN"/>
              </w:rPr>
              <w:t>-8-23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本次审核覆盖时间：从上次审核结束日的2020年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w:t>
      </w:r>
      <w:r>
        <w:rPr>
          <w:rFonts w:hint="eastAsia" w:ascii="宋体" w:hAnsi="宋体"/>
          <w:b/>
          <w:sz w:val="21"/>
          <w:szCs w:val="21"/>
          <w:lang w:val="en-US" w:eastAsia="zh-CN"/>
        </w:rPr>
        <w:t>至2021年4月23日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29" w:name="组织名称"/>
            <w:r>
              <w:rPr>
                <w:rFonts w:hint="eastAsia" w:ascii="宋体" w:hAnsi="宋体" w:cs="宋体"/>
                <w:sz w:val="21"/>
                <w:szCs w:val="21"/>
              </w:rPr>
              <w:t>茂县跃发化工有限公司</w:t>
            </w:r>
            <w:bookmarkEnd w:id="29"/>
            <w:r>
              <w:rPr>
                <w:rFonts w:hint="eastAsia" w:ascii="宋体" w:hAnsi="宋体" w:cs="宋体"/>
                <w:sz w:val="21"/>
                <w:szCs w:val="21"/>
              </w:rPr>
              <w:t>是一家专业从事硅铁的生产的企业。现有员工</w:t>
            </w:r>
            <w:r>
              <w:rPr>
                <w:rFonts w:hint="eastAsia" w:ascii="宋体" w:hAnsi="宋体" w:cs="宋体"/>
                <w:sz w:val="21"/>
                <w:szCs w:val="21"/>
                <w:lang w:val="en-US" w:eastAsia="zh-CN"/>
              </w:rPr>
              <w:t>146</w:t>
            </w:r>
            <w:r>
              <w:rPr>
                <w:rFonts w:hint="eastAsia" w:ascii="宋体" w:hAnsi="宋体" w:cs="宋体"/>
                <w:sz w:val="21"/>
                <w:szCs w:val="21"/>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bCs/>
                <w:color w:val="000000"/>
                <w:sz w:val="21"/>
                <w:szCs w:val="21"/>
              </w:rPr>
              <w:t>质量方针：</w:t>
            </w:r>
            <w:r>
              <w:rPr>
                <w:rFonts w:hint="eastAsia" w:ascii="宋体" w:hAnsi="宋体"/>
                <w:bCs/>
                <w:color w:val="000000"/>
                <w:sz w:val="21"/>
                <w:szCs w:val="21"/>
              </w:rPr>
              <w:t>质量第一、顾客至上、全员参与、追求卓越</w:t>
            </w:r>
            <w:r>
              <w:rPr>
                <w:rFonts w:hint="eastAsia" w:ascii="宋体" w:hAnsi="宋体" w:cs="宋体"/>
                <w:sz w:val="21"/>
                <w:szCs w:val="21"/>
              </w:rPr>
              <w:t>。</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rPr>
            </w:pPr>
            <w:r>
              <w:rPr>
                <w:rFonts w:hint="eastAsia" w:ascii="宋体" w:hAnsi="宋体"/>
                <w:b/>
                <w:sz w:val="21"/>
                <w:szCs w:val="21"/>
              </w:rPr>
              <w:t>质量管理体系过程有：</w:t>
            </w:r>
            <w:r>
              <w:rPr>
                <w:rFonts w:hint="eastAsia" w:ascii="宋体" w:hAnsi="宋体" w:cs="宋体"/>
                <w:kern w:val="0"/>
                <w:sz w:val="21"/>
                <w:szCs w:val="21"/>
                <w:lang w:eastAsia="zh-CN"/>
              </w:rPr>
              <w:t xml:space="preserve">硅铁的生产 </w:t>
            </w:r>
          </w:p>
          <w:p>
            <w:pPr>
              <w:tabs>
                <w:tab w:val="left" w:pos="540"/>
              </w:tabs>
              <w:spacing w:line="300" w:lineRule="exact"/>
              <w:ind w:left="211" w:hanging="211" w:hangingChars="100"/>
              <w:rPr>
                <w:rFonts w:hint="eastAsia"/>
                <w:sz w:val="21"/>
                <w:szCs w:val="21"/>
                <w:lang w:eastAsia="zh-CN"/>
              </w:rPr>
            </w:pPr>
            <w:r>
              <w:rPr>
                <w:rFonts w:hint="eastAsia" w:ascii="宋体" w:hAnsi="宋体" w:eastAsia="宋体"/>
                <w:b/>
                <w:sz w:val="21"/>
                <w:szCs w:val="21"/>
              </w:rPr>
              <w:t>关键过程有</w:t>
            </w:r>
            <w:r>
              <w:rPr>
                <w:rFonts w:hint="eastAsia"/>
                <w:sz w:val="21"/>
                <w:szCs w:val="21"/>
              </w:rPr>
              <w:t>：</w:t>
            </w:r>
            <w:r>
              <w:rPr>
                <w:rFonts w:hint="eastAsia" w:ascii="宋体" w:hAnsi="宋体" w:cs="宋体"/>
                <w:kern w:val="0"/>
                <w:sz w:val="21"/>
                <w:szCs w:val="21"/>
                <w:lang w:eastAsia="zh-CN"/>
              </w:rPr>
              <w:t>冶炼</w:t>
            </w:r>
          </w:p>
          <w:p>
            <w:pPr>
              <w:adjustRightInd w:val="0"/>
              <w:snapToGrid w:val="0"/>
              <w:spacing w:line="400" w:lineRule="exact"/>
              <w:jc w:val="left"/>
              <w:rPr>
                <w:rFonts w:hint="eastAsia" w:ascii="宋体" w:hAnsi="宋体"/>
                <w:szCs w:val="21"/>
                <w:lang w:eastAsia="zh-CN"/>
              </w:rPr>
            </w:pPr>
            <w:r>
              <w:rPr>
                <w:rFonts w:hint="eastAsia" w:ascii="宋体" w:hAnsi="宋体"/>
                <w:b/>
                <w:sz w:val="21"/>
                <w:szCs w:val="21"/>
              </w:rPr>
              <w:t>需要确认过程：</w:t>
            </w:r>
            <w:r>
              <w:rPr>
                <w:rFonts w:hint="eastAsia" w:ascii="宋体" w:hAnsi="宋体" w:eastAsia="宋体" w:cs="宋体"/>
                <w:sz w:val="21"/>
                <w:szCs w:val="21"/>
              </w:rPr>
              <w:t>冶炼工序</w:t>
            </w:r>
          </w:p>
          <w:p>
            <w:pPr>
              <w:tabs>
                <w:tab w:val="left" w:pos="540"/>
              </w:tabs>
              <w:spacing w:line="300" w:lineRule="exact"/>
              <w:ind w:left="211" w:hanging="211" w:hangingChars="100"/>
              <w:rPr>
                <w:rFonts w:hint="default" w:ascii="宋体" w:hAnsi="宋体" w:eastAsia="宋体"/>
                <w:b/>
                <w:sz w:val="21"/>
                <w:szCs w:val="21"/>
                <w:lang w:val="en-US" w:eastAsia="zh-CN"/>
              </w:rPr>
            </w:pP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ascii="宋体" w:hAnsi="宋体" w:eastAsia="宋体" w:cs="宋体"/>
                <w:sz w:val="21"/>
                <w:szCs w:val="21"/>
              </w:rPr>
              <w:t>公司产品均按国家相关标准、规范以及顾客要求进行生产，工艺成熟，</w:t>
            </w:r>
            <w:r>
              <w:rPr>
                <w:rFonts w:hint="eastAsia" w:ascii="宋体" w:hAnsi="宋体" w:eastAsia="宋体" w:cs="宋体"/>
                <w:sz w:val="21"/>
                <w:szCs w:val="21"/>
                <w:lang w:eastAsia="zh-CN"/>
              </w:rPr>
              <w:t>配方固定，整个生产过程</w:t>
            </w:r>
            <w:r>
              <w:rPr>
                <w:rFonts w:hint="eastAsia" w:ascii="宋体" w:hAnsi="宋体" w:eastAsia="宋体" w:cs="宋体"/>
                <w:sz w:val="21"/>
                <w:szCs w:val="21"/>
              </w:rPr>
              <w:t>不涉及设计，8.3不适用，理由合理。</w:t>
            </w:r>
            <w:r>
              <w:rPr>
                <w:rFonts w:hint="eastAsia" w:ascii="宋体" w:hAnsi="宋体" w:eastAsia="宋体" w:cs="宋体"/>
                <w:sz w:val="21"/>
                <w:szCs w:val="21"/>
                <w:lang w:val="en-US" w:eastAsia="zh-CN"/>
              </w:rPr>
              <w:t>8.3条款的不适用，不影响组织提供满足顾客要求及法律法规要求的能力和责任。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bCs w:val="0"/>
                <w:szCs w:val="21"/>
              </w:rPr>
            </w:pPr>
            <w:r>
              <w:rPr>
                <w:rFonts w:hint="eastAsia" w:ascii="宋体" w:hAnsi="宋体"/>
                <w:b/>
                <w:bCs w:val="0"/>
                <w:szCs w:val="21"/>
              </w:rPr>
              <w:t>(2)结合公司的☑产品</w:t>
            </w:r>
            <w:r>
              <w:rPr>
                <w:rFonts w:ascii="宋体" w:hAnsi="宋体"/>
                <w:b/>
                <w:bCs w:val="0"/>
                <w:szCs w:val="21"/>
              </w:rPr>
              <w:t>/</w:t>
            </w:r>
            <w:r>
              <w:rPr>
                <w:rFonts w:hint="eastAsia" w:ascii="宋体" w:hAnsi="宋体"/>
                <w:b/>
                <w:bCs w:val="0"/>
                <w:szCs w:val="21"/>
              </w:rPr>
              <w:t>服务□环境因素□危险源，☑确定□未确定 法律法规要求的具体条款，</w:t>
            </w:r>
          </w:p>
          <w:p>
            <w:pPr>
              <w:pStyle w:val="13"/>
              <w:tabs>
                <w:tab w:val="left" w:pos="540"/>
              </w:tabs>
              <w:spacing w:line="300" w:lineRule="exact"/>
              <w:ind w:firstLine="0" w:firstLineChars="0"/>
              <w:rPr>
                <w:rFonts w:ascii="宋体"/>
                <w:b/>
                <w:bCs w:val="0"/>
                <w:szCs w:val="21"/>
              </w:rPr>
            </w:pPr>
            <w:r>
              <w:rPr>
                <w:rFonts w:hint="eastAsia" w:ascii="宋体" w:hAnsi="宋体"/>
                <w:b/>
                <w:bCs w:val="0"/>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eastAsia="宋体" w:cs="Times New Roman"/>
                <w:b/>
                <w:bCs w:val="0"/>
                <w:kern w:val="2"/>
                <w:sz w:val="21"/>
                <w:szCs w:val="21"/>
                <w:lang w:val="en-US" w:eastAsia="zh-CN" w:bidi="ar-SA"/>
              </w:rPr>
              <w:t>(4)法律</w:t>
            </w:r>
            <w:r>
              <w:rPr>
                <w:rFonts w:hint="eastAsia" w:ascii="宋体" w:hAnsi="宋体" w:eastAsia="宋体" w:cs="Times New Roman"/>
                <w:b/>
                <w:kern w:val="2"/>
                <w:sz w:val="21"/>
                <w:szCs w:val="21"/>
                <w:lang w:val="en-US" w:eastAsia="zh-CN" w:bidi="ar-SA"/>
              </w:rPr>
              <w:t>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rPr>
              <w:t>2018.7.20</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ind w:firstLine="420" w:firstLineChars="200"/>
              <w:rPr>
                <w:rFonts w:ascii="宋体" w:hAnsi="宋体"/>
                <w:b/>
                <w:sz w:val="21"/>
                <w:szCs w:val="21"/>
              </w:rPr>
            </w:pPr>
            <w:r>
              <w:rPr>
                <w:rFonts w:hint="eastAsia" w:ascii="宋体" w:hAnsi="宋体" w:cs="宋体"/>
                <w:sz w:val="21"/>
                <w:szCs w:val="21"/>
              </w:rPr>
              <w:t>组织有</w:t>
            </w:r>
            <w:r>
              <w:rPr>
                <w:rFonts w:hint="eastAsia" w:ascii="宋体" w:hAnsi="宋体" w:cs="宋体"/>
                <w:sz w:val="21"/>
                <w:szCs w:val="21"/>
                <w:lang w:eastAsia="zh-CN"/>
              </w:rPr>
              <w:t>满足产品生产需要的生产场地及办公经营场所，车间、库房按区域划分开。主要设备包括</w:t>
            </w:r>
            <w:r>
              <w:rPr>
                <w:rFonts w:hint="eastAsia" w:ascii="宋体" w:hAnsi="宋体" w:eastAsia="宋体" w:cs="宋体"/>
                <w:sz w:val="21"/>
                <w:szCs w:val="21"/>
              </w:rPr>
              <w:t>半封闭式矿热炉、液压系统、自动加料系统、矿热炉变压器、行车、皮带输送机、破碎机</w:t>
            </w:r>
            <w:r>
              <w:rPr>
                <w:rFonts w:hint="eastAsia" w:ascii="宋体" w:hAnsi="宋体" w:cs="宋体"/>
                <w:sz w:val="21"/>
                <w:szCs w:val="21"/>
              </w:rPr>
              <w:t>等</w:t>
            </w:r>
            <w:r>
              <w:rPr>
                <w:rFonts w:hint="eastAsia" w:ascii="宋体" w:hAnsi="宋体" w:cs="宋体"/>
                <w:sz w:val="21"/>
                <w:szCs w:val="21"/>
                <w:lang w:eastAsia="zh-CN"/>
              </w:rPr>
              <w:t>，检测设备：</w:t>
            </w:r>
            <w:r>
              <w:rPr>
                <w:rFonts w:hint="eastAsia" w:ascii="宋体" w:hAnsi="宋体" w:eastAsia="宋体" w:cs="宋体"/>
                <w:color w:val="000000"/>
                <w:sz w:val="21"/>
                <w:szCs w:val="21"/>
              </w:rPr>
              <w:t>滴定管、电子天平、可见分光光度计</w:t>
            </w:r>
            <w:r>
              <w:rPr>
                <w:rFonts w:hint="eastAsia" w:ascii="宋体" w:hAnsi="宋体"/>
                <w:sz w:val="21"/>
                <w:szCs w:val="21"/>
                <w:lang w:eastAsia="zh-CN"/>
              </w:rPr>
              <w:t>等</w:t>
            </w:r>
            <w:r>
              <w:rPr>
                <w:rFonts w:hint="eastAsia" w:ascii="宋体" w:hAnsi="宋体" w:cs="宋体"/>
                <w:sz w:val="21"/>
                <w:szCs w:val="21"/>
                <w:lang w:eastAsia="zh-CN"/>
              </w:rPr>
              <w:t>，可以满足产品生产需要。生产部对设备按月方式进行点检维护保养，并实施</w:t>
            </w:r>
            <w:r>
              <w:rPr>
                <w:rFonts w:hint="eastAsia" w:ascii="宋体" w:hAnsi="宋体" w:eastAsia="宋体" w:cs="宋体"/>
                <w:sz w:val="21"/>
                <w:szCs w:val="21"/>
                <w:lang w:eastAsia="zh-CN"/>
              </w:rPr>
              <w:t>。特种设备：</w:t>
            </w:r>
            <w:r>
              <w:rPr>
                <w:rFonts w:hint="eastAsia" w:ascii="宋体" w:hAnsi="宋体" w:eastAsia="宋体" w:cs="宋体"/>
                <w:sz w:val="21"/>
                <w:szCs w:val="21"/>
              </w:rPr>
              <w:t>在用</w:t>
            </w:r>
            <w:r>
              <w:rPr>
                <w:rFonts w:hint="eastAsia" w:ascii="宋体" w:hAnsi="宋体" w:eastAsia="宋体" w:cs="宋体"/>
                <w:sz w:val="21"/>
                <w:szCs w:val="21"/>
                <w:lang w:eastAsia="zh-CN"/>
              </w:rPr>
              <w:t>特种设备有</w:t>
            </w:r>
            <w:r>
              <w:rPr>
                <w:rFonts w:hint="eastAsia" w:ascii="宋体" w:hAnsi="宋体" w:eastAsia="宋体" w:cs="宋体"/>
                <w:sz w:val="21"/>
                <w:szCs w:val="21"/>
              </w:rPr>
              <w:t>行车</w:t>
            </w:r>
            <w:r>
              <w:rPr>
                <w:rFonts w:hint="eastAsia" w:ascii="宋体" w:hAnsi="宋体" w:eastAsia="宋体" w:cs="宋体"/>
                <w:sz w:val="21"/>
                <w:szCs w:val="21"/>
                <w:lang w:eastAsia="zh-CN"/>
              </w:rPr>
              <w:t>，</w:t>
            </w:r>
            <w:r>
              <w:rPr>
                <w:rFonts w:hint="eastAsia" w:ascii="宋体" w:hAnsi="宋体" w:eastAsia="宋体" w:cs="宋体"/>
                <w:sz w:val="21"/>
                <w:szCs w:val="21"/>
              </w:rPr>
              <w:t>叉车</w:t>
            </w:r>
            <w:r>
              <w:rPr>
                <w:rFonts w:hint="eastAsia" w:ascii="宋体" w:hAnsi="宋体" w:eastAsia="宋体" w:cs="宋体"/>
                <w:sz w:val="21"/>
                <w:szCs w:val="21"/>
                <w:lang w:eastAsia="zh-CN"/>
              </w:rPr>
              <w:t>，均提供有效年检报告。</w:t>
            </w:r>
            <w:r>
              <w:rPr>
                <w:rFonts w:hint="eastAsia" w:ascii="宋体" w:hAnsi="宋体" w:cs="宋体"/>
                <w:sz w:val="21"/>
                <w:szCs w:val="21"/>
                <w:lang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查《计量器具台账》，</w:t>
            </w:r>
            <w:r>
              <w:rPr>
                <w:rFonts w:hint="eastAsia" w:ascii="宋体" w:hAnsi="宋体" w:cs="宋体"/>
                <w:sz w:val="21"/>
                <w:szCs w:val="21"/>
                <w:lang w:val="en-US" w:eastAsia="zh-CN"/>
              </w:rPr>
              <w:t>相应部门</w:t>
            </w:r>
            <w:r>
              <w:rPr>
                <w:rFonts w:hint="eastAsia" w:ascii="宋体" w:hAnsi="宋体" w:cs="宋体"/>
                <w:sz w:val="21"/>
                <w:szCs w:val="21"/>
              </w:rPr>
              <w:t>均按策划的要求配置了相应的检测设备用于产品的检测，监视测量设备有：</w:t>
            </w:r>
            <w:r>
              <w:rPr>
                <w:rFonts w:hint="eastAsia" w:ascii="宋体" w:hAnsi="宋体" w:eastAsia="宋体" w:cs="宋体"/>
                <w:color w:val="000000"/>
                <w:sz w:val="21"/>
                <w:szCs w:val="21"/>
              </w:rPr>
              <w:t>滴定管、电子天平、可见分光光度计</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过程、特殊过程：</w:t>
            </w:r>
            <w:r>
              <w:rPr>
                <w:rFonts w:hint="eastAsia" w:ascii="宋体" w:hAnsi="宋体" w:cs="宋体"/>
                <w:color w:val="000000"/>
                <w:sz w:val="21"/>
                <w:szCs w:val="21"/>
                <w:lang w:eastAsia="zh-CN"/>
              </w:rPr>
              <w:t>冶炼工序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5 .QMS</w:t>
            </w:r>
            <w:r>
              <w:rPr>
                <w:rFonts w:hint="eastAsia" w:ascii="宋体" w:hAnsi="宋体"/>
                <w:b/>
                <w:sz w:val="21"/>
                <w:szCs w:val="21"/>
                <w:highlight w:val="none"/>
              </w:rPr>
              <w:t>/</w:t>
            </w:r>
            <w:r>
              <w:rPr>
                <w:rFonts w:hint="eastAsia" w:ascii="宋体" w:hAnsi="宋体"/>
                <w:b/>
                <w:szCs w:val="21"/>
                <w:highlight w:val="none"/>
              </w:rPr>
              <w:t>□50430</w:t>
            </w:r>
            <w:r>
              <w:rPr>
                <w:rFonts w:hint="eastAsia" w:ascii="宋体" w:hAnsi="宋体"/>
                <w:b/>
                <w:sz w:val="21"/>
                <w:szCs w:val="21"/>
                <w:highlight w:val="none"/>
              </w:rPr>
              <w:t>国家</w:t>
            </w:r>
            <w:r>
              <w:rPr>
                <w:rFonts w:ascii="宋体" w:hAnsi="宋体"/>
                <w:b/>
                <w:sz w:val="21"/>
                <w:szCs w:val="21"/>
                <w:highlight w:val="none"/>
              </w:rPr>
              <w:t>/</w:t>
            </w:r>
            <w:r>
              <w:rPr>
                <w:rFonts w:hint="eastAsia" w:ascii="宋体" w:hAnsi="宋体"/>
                <w:b/>
                <w:sz w:val="21"/>
                <w:szCs w:val="21"/>
                <w:highlight w:val="none"/>
              </w:rPr>
              <w:t>地方技术监督部门监测（检测、委托检测、定期监测、型式试验等）、抽查结果</w:t>
            </w:r>
          </w:p>
          <w:p>
            <w:pPr>
              <w:spacing w:line="240" w:lineRule="exact"/>
              <w:rPr>
                <w:rFonts w:hint="eastAsia" w:ascii="宋体" w:hAnsi="宋体" w:eastAsia="宋体"/>
                <w:b/>
                <w:sz w:val="21"/>
                <w:szCs w:val="21"/>
                <w:highlight w:val="none"/>
                <w:lang w:val="en-US" w:eastAsia="zh-CN"/>
              </w:rPr>
            </w:pPr>
            <w:r>
              <w:rPr>
                <w:rFonts w:hint="eastAsia" w:ascii="宋体" w:hAnsi="宋体"/>
                <w:b/>
                <w:sz w:val="21"/>
                <w:szCs w:val="21"/>
                <w:highlight w:val="none"/>
                <w:lang w:val="en-US" w:eastAsia="zh-CN"/>
              </w:rPr>
              <w:t>无</w:t>
            </w:r>
            <w:bookmarkStart w:id="30" w:name="_GoBack"/>
            <w:bookmarkEnd w:id="30"/>
          </w:p>
          <w:p>
            <w:pPr>
              <w:spacing w:line="300" w:lineRule="exact"/>
              <w:ind w:firstLine="207" w:firstLineChars="98"/>
              <w:rPr>
                <w:rFonts w:ascii="宋体" w:hAnsi="宋体"/>
                <w:b/>
                <w:sz w:val="21"/>
                <w:szCs w:val="21"/>
              </w:rPr>
            </w:pPr>
            <w:r>
              <w:rPr>
                <w:rFonts w:hint="eastAsia" w:ascii="宋体" w:hAnsi="宋体"/>
                <w:b/>
                <w:sz w:val="21"/>
                <w:szCs w:val="21"/>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color w:val="auto"/>
                <w:sz w:val="21"/>
                <w:szCs w:val="21"/>
              </w:rPr>
              <w:t xml:space="preserve">10. </w:t>
            </w:r>
            <w:r>
              <w:rPr>
                <w:rFonts w:hint="eastAsia" w:ascii="宋体" w:hAnsi="宋体"/>
                <w:b/>
                <w:color w:val="auto"/>
                <w:sz w:val="21"/>
                <w:szCs w:val="21"/>
              </w:rPr>
              <w:t>对特种设备的维护，检定</w:t>
            </w:r>
            <w:r>
              <w:rPr>
                <w:rFonts w:ascii="宋体" w:hAnsi="宋体"/>
                <w:b/>
                <w:color w:val="auto"/>
                <w:sz w:val="21"/>
                <w:szCs w:val="21"/>
              </w:rPr>
              <w:t>;</w:t>
            </w:r>
            <w:r>
              <w:rPr>
                <w:rFonts w:hint="eastAsia" w:ascii="宋体" w:hAnsi="宋体"/>
                <w:b/>
                <w:color w:val="auto"/>
                <w:sz w:val="21"/>
                <w:szCs w:val="21"/>
              </w:rPr>
              <w:t>（</w:t>
            </w:r>
            <w:r>
              <w:rPr>
                <w:rFonts w:ascii="宋体" w:hAnsi="宋体"/>
                <w:b/>
                <w:color w:val="auto"/>
                <w:sz w:val="21"/>
                <w:szCs w:val="21"/>
              </w:rPr>
              <w:t>适用时</w:t>
            </w:r>
            <w:r>
              <w:rPr>
                <w:rFonts w:hint="eastAsia" w:ascii="宋体" w:hAnsi="宋体"/>
                <w:b/>
                <w:color w:val="auto"/>
                <w:sz w:val="21"/>
                <w:szCs w:val="21"/>
              </w:rPr>
              <w:t>）:</w:t>
            </w:r>
            <w:r>
              <w:rPr>
                <w:rFonts w:hint="eastAsia" w:ascii="宋体" w:hAnsi="宋体"/>
                <w:b/>
                <w:color w:val="auto"/>
                <w:sz w:val="21"/>
                <w:szCs w:val="21"/>
                <w:lang w:eastAsia="zh-CN"/>
              </w:rPr>
              <w:t>特种设备：</w:t>
            </w:r>
            <w:r>
              <w:rPr>
                <w:rFonts w:hint="eastAsia" w:ascii="宋体" w:hAnsi="宋体"/>
                <w:b/>
                <w:color w:val="auto"/>
                <w:sz w:val="21"/>
                <w:szCs w:val="21"/>
              </w:rPr>
              <w:t>在用行车</w:t>
            </w:r>
            <w:r>
              <w:rPr>
                <w:rFonts w:hint="eastAsia" w:ascii="宋体" w:hAnsi="宋体"/>
                <w:b/>
                <w:color w:val="auto"/>
                <w:sz w:val="21"/>
                <w:szCs w:val="21"/>
                <w:lang w:eastAsia="zh-CN"/>
              </w:rPr>
              <w:t>，</w:t>
            </w:r>
            <w:r>
              <w:rPr>
                <w:rFonts w:hint="eastAsia" w:ascii="宋体" w:hAnsi="宋体"/>
                <w:b/>
                <w:color w:val="auto"/>
                <w:sz w:val="21"/>
                <w:szCs w:val="21"/>
              </w:rPr>
              <w:t>叉车</w:t>
            </w:r>
            <w:r>
              <w:rPr>
                <w:rFonts w:hint="eastAsia" w:ascii="宋体" w:hAnsi="宋体"/>
                <w:b/>
                <w:color w:val="auto"/>
                <w:sz w:val="21"/>
                <w:szCs w:val="21"/>
                <w:lang w:eastAsia="zh-CN"/>
              </w:rPr>
              <w:t>，均能提供有效年检报告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w:t>
            </w:r>
            <w:r>
              <w:rPr>
                <w:rFonts w:hint="eastAsia" w:ascii="宋体" w:hAnsi="宋体" w:cs="宋体"/>
                <w:color w:val="000000"/>
                <w:sz w:val="21"/>
                <w:szCs w:val="21"/>
              </w:rPr>
              <w:t>视评价，通过数据的汇总统计、描述性统计等方法对目标进行了测量，总体已达到或超过了规定的目标值。通过2020年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10月</w:t>
            </w:r>
            <w:r>
              <w:rPr>
                <w:rFonts w:hint="eastAsia" w:ascii="宋体" w:hAnsi="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4"/>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w:t>
            </w:r>
            <w:r>
              <w:rPr>
                <w:rFonts w:hint="eastAsia" w:ascii="宋体" w:hAnsi="宋体" w:cs="宋体"/>
                <w:sz w:val="21"/>
                <w:szCs w:val="21"/>
              </w:rPr>
              <w:t>用</w:t>
            </w:r>
            <w:r>
              <w:rPr>
                <w:rFonts w:hint="eastAsia" w:ascii="宋体" w:hAnsi="宋体" w:cs="宋体"/>
                <w:color w:val="000000"/>
                <w:sz w:val="21"/>
                <w:szCs w:val="21"/>
              </w:rPr>
              <w:t>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年1</w:t>
            </w:r>
            <w:r>
              <w:rPr>
                <w:rFonts w:hint="eastAsia" w:ascii="宋体" w:hAnsi="宋体" w:cs="宋体"/>
                <w:color w:val="000000"/>
                <w:sz w:val="21"/>
                <w:szCs w:val="21"/>
                <w:lang w:val="en-US" w:eastAsia="zh-CN"/>
              </w:rPr>
              <w:t>0</w:t>
            </w:r>
            <w:r>
              <w:rPr>
                <w:rFonts w:hint="eastAsia" w:ascii="宋体" w:hAnsi="宋体" w:cs="宋体"/>
                <w:color w:val="000000"/>
                <w:sz w:val="21"/>
                <w:szCs w:val="21"/>
              </w:rPr>
              <w:t>月实施，满意度评价</w:t>
            </w:r>
            <w:r>
              <w:rPr>
                <w:rFonts w:hint="eastAsia" w:ascii="宋体" w:hAnsi="宋体" w:cs="宋体"/>
                <w:color w:val="000000"/>
                <w:sz w:val="21"/>
                <w:szCs w:val="21"/>
                <w:lang w:val="en-US" w:eastAsia="zh-CN"/>
              </w:rPr>
              <w:t>96</w:t>
            </w:r>
            <w:r>
              <w:rPr>
                <w:rFonts w:hint="eastAsia" w:ascii="宋体" w:hAnsi="宋体" w:cs="宋体"/>
                <w:color w:val="000000"/>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w:t>
            </w:r>
            <w:r>
              <w:rPr>
                <w:rFonts w:hint="eastAsia" w:ascii="宋体" w:hAnsi="宋体" w:cs="宋体"/>
                <w:color w:val="000000"/>
                <w:sz w:val="21"/>
                <w:szCs w:val="21"/>
                <w:lang w:eastAsia="zh-CN"/>
              </w:rPr>
              <w:t>：</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 xml:space="preserve">年 </w:t>
            </w:r>
            <w:r>
              <w:rPr>
                <w:rFonts w:hint="eastAsia" w:ascii="宋体" w:hAnsi="宋体" w:cs="宋体"/>
                <w:color w:val="000000"/>
                <w:sz w:val="21"/>
                <w:szCs w:val="21"/>
                <w:lang w:val="en-US" w:eastAsia="zh-CN"/>
              </w:rPr>
              <w:t>1</w:t>
            </w:r>
            <w:r>
              <w:rPr>
                <w:rFonts w:hint="eastAsia" w:ascii="宋体" w:hAnsi="宋体" w:cs="宋体"/>
                <w:color w:val="000000"/>
                <w:sz w:val="21"/>
                <w:szCs w:val="21"/>
              </w:rPr>
              <w:t>1月</w:t>
            </w:r>
            <w:r>
              <w:rPr>
                <w:rFonts w:hint="eastAsia" w:ascii="宋体" w:hAnsi="宋体" w:cs="宋体"/>
                <w:color w:val="000000"/>
                <w:sz w:val="21"/>
                <w:szCs w:val="21"/>
                <w:lang w:val="en-US" w:eastAsia="zh-CN"/>
              </w:rPr>
              <w:t>01</w:t>
            </w:r>
            <w:r>
              <w:rPr>
                <w:rFonts w:hint="eastAsia" w:ascii="宋体" w:hAnsi="宋体" w:cs="宋体"/>
                <w:color w:val="000000"/>
                <w:sz w:val="21"/>
                <w:szCs w:val="21"/>
              </w:rPr>
              <w:t>日至</w:t>
            </w:r>
            <w:r>
              <w:rPr>
                <w:rFonts w:hint="eastAsia" w:ascii="宋体" w:hAnsi="宋体" w:cs="宋体"/>
                <w:color w:val="000000"/>
                <w:sz w:val="21"/>
                <w:szCs w:val="21"/>
                <w:lang w:val="en-US" w:eastAsia="zh-CN"/>
              </w:rPr>
              <w:t>02</w:t>
            </w:r>
            <w:r>
              <w:rPr>
                <w:rFonts w:hint="eastAsia" w:ascii="宋体" w:hAnsi="宋体" w:cs="宋体"/>
                <w:color w:val="000000"/>
                <w:sz w:val="21"/>
                <w:szCs w:val="21"/>
              </w:rPr>
              <w:t xml:space="preserve"> 日，拟定了审核实施表，明确了内审范围，内审人员经培训合格上岗，能力满足要求，未出现审核本部门情况，内审不符合</w:t>
            </w:r>
            <w:r>
              <w:rPr>
                <w:rFonts w:hint="eastAsia" w:ascii="宋体" w:hAnsi="宋体" w:eastAsia="宋体" w:cs="宋体"/>
                <w:color w:val="000000"/>
                <w:sz w:val="21"/>
                <w:szCs w:val="21"/>
              </w:rPr>
              <w:t>项1项，涉及</w:t>
            </w:r>
            <w:r>
              <w:rPr>
                <w:rFonts w:hint="eastAsia" w:ascii="宋体" w:hAnsi="宋体" w:eastAsia="宋体" w:cs="宋体"/>
                <w:color w:val="000000"/>
                <w:sz w:val="21"/>
                <w:szCs w:val="21"/>
                <w:lang w:eastAsia="zh-CN"/>
              </w:rPr>
              <w:t>行政部</w:t>
            </w:r>
            <w:r>
              <w:rPr>
                <w:rFonts w:hint="eastAsia" w:ascii="宋体" w:hAnsi="宋体" w:eastAsia="宋体" w:cs="宋体"/>
                <w:color w:val="000000"/>
                <w:sz w:val="21"/>
                <w:szCs w:val="21"/>
                <w:lang w:val="en-US" w:eastAsia="zh-CN"/>
              </w:rPr>
              <w:t>不符合标准7.5.3条款，</w:t>
            </w:r>
            <w:r>
              <w:rPr>
                <w:rFonts w:hint="eastAsia" w:ascii="宋体" w:hAnsi="宋体" w:eastAsia="宋体" w:cs="宋体"/>
                <w:color w:val="000000"/>
                <w:sz w:val="21"/>
                <w:szCs w:val="21"/>
              </w:rPr>
              <w:t>外来文件清单中版本未及时更新，针对该不符合项，已及时采取纠正措施后，经内审员验证关闭。内审的有效性需要改善。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lang w:eastAsia="zh-CN"/>
              </w:rPr>
              <w:t>管理评审频次为一年一次、本次管理评审</w:t>
            </w:r>
            <w:r>
              <w:rPr>
                <w:rFonts w:hint="eastAsia" w:ascii="宋体" w:hAnsi="宋体" w:eastAsia="宋体" w:cs="宋体"/>
                <w:color w:val="000000"/>
                <w:sz w:val="21"/>
                <w:szCs w:val="21"/>
                <w:lang w:eastAsia="zh-CN"/>
              </w:rPr>
              <w:t>于2020年 11 月29日由总</w:t>
            </w:r>
            <w:r>
              <w:rPr>
                <w:rFonts w:hint="eastAsia" w:ascii="宋体" w:hAnsi="宋体" w:cs="宋体"/>
                <w:color w:val="000000"/>
                <w:sz w:val="21"/>
                <w:szCs w:val="21"/>
                <w:lang w:eastAsia="zh-CN"/>
              </w:rPr>
              <w:t>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numPr>
                <w:ilvl w:val="0"/>
                <w:numId w:val="0"/>
              </w:numPr>
              <w:spacing w:line="240" w:lineRule="exact"/>
              <w:ind w:leftChars="0"/>
              <w:rPr>
                <w:rFonts w:ascii="宋体" w:hAnsi="宋体"/>
                <w:b/>
                <w:sz w:val="21"/>
                <w:szCs w:val="21"/>
              </w:rPr>
            </w:pPr>
            <w:r>
              <w:rPr>
                <w:rFonts w:hint="eastAsia" w:ascii="宋体" w:hAnsi="宋体" w:eastAsia="宋体" w:cs="宋体"/>
                <w:color w:val="000000"/>
                <w:sz w:val="21"/>
                <w:szCs w:val="21"/>
              </w:rPr>
              <w:t>上次不符合为</w:t>
            </w:r>
            <w:r>
              <w:rPr>
                <w:rFonts w:hint="eastAsia" w:ascii="宋体" w:hAnsi="宋体" w:eastAsia="宋体" w:cs="宋体"/>
                <w:color w:val="000000"/>
                <w:sz w:val="21"/>
                <w:szCs w:val="21"/>
                <w:lang w:val="en-US" w:eastAsia="zh-CN"/>
              </w:rPr>
              <w:t>8.5.2</w:t>
            </w:r>
            <w:r>
              <w:rPr>
                <w:rFonts w:hint="eastAsia" w:ascii="宋体" w:hAnsi="宋体" w:eastAsia="宋体" w:cs="宋体"/>
                <w:color w:val="000000"/>
                <w:sz w:val="21"/>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b/>
          <w:sz w:val="22"/>
          <w:szCs w:val="22"/>
        </w:rPr>
        <w:drawing>
          <wp:anchor distT="0" distB="0" distL="114300" distR="114300" simplePos="0" relativeHeight="251661312" behindDoc="0" locked="0" layoutInCell="1" allowOverlap="1">
            <wp:simplePos x="0" y="0"/>
            <wp:positionH relativeFrom="column">
              <wp:posOffset>1808480</wp:posOffset>
            </wp:positionH>
            <wp:positionV relativeFrom="paragraph">
              <wp:posOffset>289560</wp:posOffset>
            </wp:positionV>
            <wp:extent cx="344805" cy="319405"/>
            <wp:effectExtent l="0" t="0" r="17145" b="4445"/>
            <wp:wrapNone/>
            <wp:docPr id="1"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19-09-04 21.08.47.jpg"/>
                    <pic:cNvPicPr>
                      <a:picLocks noChangeAspect="1"/>
                    </pic:cNvPicPr>
                  </pic:nvPicPr>
                  <pic:blipFill>
                    <a:blip r:embed="rId6"/>
                    <a:stretch>
                      <a:fillRect/>
                    </a:stretch>
                  </pic:blipFill>
                  <pic:spPr>
                    <a:xfrm>
                      <a:off x="0" y="0"/>
                      <a:ext cx="344805" cy="31940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2336" behindDoc="0" locked="0" layoutInCell="1" allowOverlap="1">
            <wp:simplePos x="0" y="0"/>
            <wp:positionH relativeFrom="column">
              <wp:posOffset>1896110</wp:posOffset>
            </wp:positionH>
            <wp:positionV relativeFrom="paragraph">
              <wp:posOffset>106045</wp:posOffset>
            </wp:positionV>
            <wp:extent cx="367665" cy="258445"/>
            <wp:effectExtent l="0" t="0" r="13335" b="762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7"/>
                    <a:stretch>
                      <a:fillRect/>
                    </a:stretch>
                  </pic:blipFill>
                  <pic:spPr>
                    <a:xfrm>
                      <a:off x="0" y="0"/>
                      <a:ext cx="367665" cy="25844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2021.04.23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b/>
          <w:sz w:val="21"/>
          <w:szCs w:val="21"/>
          <w:u w:val="single"/>
        </w:rPr>
      </w:pPr>
      <w:r>
        <w:rPr>
          <w:rFonts w:hint="eastAsia" w:ascii="宋体"/>
          <w:b/>
          <w:sz w:val="22"/>
          <w:szCs w:val="22"/>
        </w:rPr>
        <w:drawing>
          <wp:anchor distT="0" distB="0" distL="114300" distR="114300" simplePos="0" relativeHeight="251663360" behindDoc="0" locked="0" layoutInCell="1" allowOverlap="1">
            <wp:simplePos x="0" y="0"/>
            <wp:positionH relativeFrom="column">
              <wp:posOffset>1190625</wp:posOffset>
            </wp:positionH>
            <wp:positionV relativeFrom="paragraph">
              <wp:posOffset>42545</wp:posOffset>
            </wp:positionV>
            <wp:extent cx="344805" cy="319405"/>
            <wp:effectExtent l="0" t="0" r="17145" b="4445"/>
            <wp:wrapNone/>
            <wp:docPr id="3"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19-09-04 21.08.47.jpg"/>
                    <pic:cNvPicPr>
                      <a:picLocks noChangeAspect="1"/>
                    </pic:cNvPicPr>
                  </pic:nvPicPr>
                  <pic:blipFill>
                    <a:blip r:embed="rId6"/>
                    <a:stretch>
                      <a:fillRect/>
                    </a:stretch>
                  </pic:blipFill>
                  <pic:spPr>
                    <a:xfrm>
                      <a:off x="0" y="0"/>
                      <a:ext cx="344805" cy="31940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092805CD"/>
    <w:multiLevelType w:val="singleLevel"/>
    <w:tmpl w:val="092805CD"/>
    <w:lvl w:ilvl="0" w:tentative="0">
      <w:start w:val="2"/>
      <w:numFmt w:val="decimal"/>
      <w:lvlText w:val="%1."/>
      <w:lvlJc w:val="left"/>
      <w:pPr>
        <w:tabs>
          <w:tab w:val="left" w:pos="312"/>
        </w:tabs>
      </w:pPr>
    </w:lvl>
  </w:abstractNum>
  <w:abstractNum w:abstractNumId="4">
    <w:nsid w:val="1DDE20DE"/>
    <w:multiLevelType w:val="singleLevel"/>
    <w:tmpl w:val="1DDE20DE"/>
    <w:lvl w:ilvl="0" w:tentative="0">
      <w:start w:val="8"/>
      <w:numFmt w:val="decimal"/>
      <w:suff w:val="space"/>
      <w:lvlText w:val="%1."/>
      <w:lvlJc w:val="left"/>
    </w:lvl>
  </w:abstractNum>
  <w:abstractNum w:abstractNumId="5">
    <w:nsid w:val="1EEBFF49"/>
    <w:multiLevelType w:val="singleLevel"/>
    <w:tmpl w:val="1EEBFF49"/>
    <w:lvl w:ilvl="0" w:tentative="0">
      <w:start w:val="2"/>
      <w:numFmt w:val="decimal"/>
      <w:lvlText w:val="%1."/>
      <w:lvlJc w:val="left"/>
      <w:pPr>
        <w:tabs>
          <w:tab w:val="left" w:pos="312"/>
        </w:tabs>
      </w:pPr>
    </w:lvl>
  </w:abstractNum>
  <w:abstractNum w:abstractNumId="6">
    <w:nsid w:val="45014024"/>
    <w:multiLevelType w:val="singleLevel"/>
    <w:tmpl w:val="45014024"/>
    <w:lvl w:ilvl="0" w:tentative="0">
      <w:start w:val="8"/>
      <w:numFmt w:val="decimal"/>
      <w:lvlText w:val="%1."/>
      <w:lvlJc w:val="left"/>
      <w:pPr>
        <w:tabs>
          <w:tab w:val="left" w:pos="312"/>
        </w:tabs>
      </w:pPr>
    </w:lvl>
  </w:abstractNum>
  <w:abstractNum w:abstractNumId="7">
    <w:nsid w:val="688C3EB5"/>
    <w:multiLevelType w:val="singleLevel"/>
    <w:tmpl w:val="688C3EB5"/>
    <w:lvl w:ilvl="0" w:tentative="0">
      <w:start w:val="2"/>
      <w:numFmt w:val="decimal"/>
      <w:suff w:val="nothing"/>
      <w:lvlText w:val="%1、"/>
      <w:lvlJc w:val="left"/>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23338"/>
    <w:rsid w:val="032F71D8"/>
    <w:rsid w:val="04783220"/>
    <w:rsid w:val="05FD51DA"/>
    <w:rsid w:val="06767B45"/>
    <w:rsid w:val="0A5373E5"/>
    <w:rsid w:val="0B9B4C1A"/>
    <w:rsid w:val="0B9F02D6"/>
    <w:rsid w:val="105A02AE"/>
    <w:rsid w:val="11C13C16"/>
    <w:rsid w:val="1363419D"/>
    <w:rsid w:val="15C47C40"/>
    <w:rsid w:val="15D81D04"/>
    <w:rsid w:val="15E54E64"/>
    <w:rsid w:val="17EB39DC"/>
    <w:rsid w:val="1818593A"/>
    <w:rsid w:val="1CD04805"/>
    <w:rsid w:val="1D2E5F0D"/>
    <w:rsid w:val="1F9E5807"/>
    <w:rsid w:val="20311F2C"/>
    <w:rsid w:val="214B075E"/>
    <w:rsid w:val="25A87C5E"/>
    <w:rsid w:val="27655A31"/>
    <w:rsid w:val="27D161FA"/>
    <w:rsid w:val="28F6743E"/>
    <w:rsid w:val="2AC90C66"/>
    <w:rsid w:val="2D2C4C44"/>
    <w:rsid w:val="30245C8A"/>
    <w:rsid w:val="34F82ECE"/>
    <w:rsid w:val="36D02ED8"/>
    <w:rsid w:val="37CE0EAC"/>
    <w:rsid w:val="38510C00"/>
    <w:rsid w:val="387F2B71"/>
    <w:rsid w:val="3AAA71ED"/>
    <w:rsid w:val="3C9D1D4E"/>
    <w:rsid w:val="40420972"/>
    <w:rsid w:val="45354E06"/>
    <w:rsid w:val="45641C2C"/>
    <w:rsid w:val="463B30FF"/>
    <w:rsid w:val="46A000FA"/>
    <w:rsid w:val="49332F82"/>
    <w:rsid w:val="4A8E52F3"/>
    <w:rsid w:val="4B2C6B12"/>
    <w:rsid w:val="4D913F7C"/>
    <w:rsid w:val="4DCB513B"/>
    <w:rsid w:val="4E222EE0"/>
    <w:rsid w:val="4E2A6D86"/>
    <w:rsid w:val="4F0E3784"/>
    <w:rsid w:val="50B83683"/>
    <w:rsid w:val="552A69FE"/>
    <w:rsid w:val="58701E53"/>
    <w:rsid w:val="5C5104F9"/>
    <w:rsid w:val="5D733AFA"/>
    <w:rsid w:val="5D744C77"/>
    <w:rsid w:val="5EDE0F62"/>
    <w:rsid w:val="61905A9C"/>
    <w:rsid w:val="632563C3"/>
    <w:rsid w:val="69FD6365"/>
    <w:rsid w:val="6EDB38CA"/>
    <w:rsid w:val="6FBA5B5B"/>
    <w:rsid w:val="700C0662"/>
    <w:rsid w:val="70194E7D"/>
    <w:rsid w:val="728639A0"/>
    <w:rsid w:val="72D10AB4"/>
    <w:rsid w:val="78BB5119"/>
    <w:rsid w:val="7B5F3A5E"/>
    <w:rsid w:val="7DCD6507"/>
    <w:rsid w:val="7E1E6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2021-04-23T04:59:03Z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208A7180759A4AFE9480ECE40EE835F6</vt:lpwstr>
  </property>
</Properties>
</file>