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-950595</wp:posOffset>
            </wp:positionV>
            <wp:extent cx="7449820" cy="10586085"/>
            <wp:effectExtent l="0" t="0" r="5080" b="5715"/>
            <wp:wrapNone/>
            <wp:docPr id="2" name="图片 2" descr="扫描全能王 2021-05-12 10.2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12 10.22_9"/>
                    <pic:cNvPicPr>
                      <a:picLocks noChangeAspect="1"/>
                    </pic:cNvPicPr>
                  </pic:nvPicPr>
                  <pic:blipFill>
                    <a:blip r:embed="rId5"/>
                    <a:srcRect r="760" b="864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058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0083-2020-2021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芜湖市金贸流体科技股份有限公司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 编号ZLJL.606.02表面粗糙度比较样块确认记录显示“确认依据、规定及技术文件中相应指标：无”，没有规定表面粗糙度比较样块的计量要求，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GB/T19022标准条款7.1.1要求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生产部部负责确定该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表面粗糙度比较样块的计量要求并完善计量确认记录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李俐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554DA"/>
    <w:rsid w:val="652940D4"/>
    <w:rsid w:val="66866A7A"/>
    <w:rsid w:val="72FA74F5"/>
    <w:rsid w:val="7939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2021-05-12T02:54:46Z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7C4FAE60E6EF499CB5C6CCC82F5A6917</vt:lpwstr>
  </property>
</Properties>
</file>