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0332-2021-Q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四川盛博机电设备有限公司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四川盛博机电设备有限公司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四川省德阳市广汉市金雁街道檀林村9组</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广汉市小汉镇团结村一组</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陈小玲</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陈小玲</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黑体" w:hAnsi="黑体" w:eastAsia="黑体" w:cs="黑体"/>
                <w:b/>
                <w:bCs/>
                <w:sz w:val="32"/>
              </w:rPr>
              <w:t xml:space="preserve"> </w:t>
            </w:r>
            <w:r>
              <w:rPr>
                <w:rFonts w:hint="eastAsia" w:ascii="宋体" w:hAnsi="宋体"/>
                <w:b/>
                <w:color w:val="000000"/>
                <w:spacing w:val="-8"/>
                <w:sz w:val="20"/>
                <w:szCs w:val="20"/>
              </w:rPr>
              <w:t>2020年10月26日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一般机械零件加工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color w:val="000000"/>
          <w:sz w:val="20"/>
          <w:szCs w:val="20"/>
        </w:rPr>
        <w:t>管理层、总经办</w:t>
      </w:r>
      <w:r>
        <w:rPr>
          <w:rFonts w:hint="eastAsia" w:ascii="宋体" w:hAnsi="宋体"/>
          <w:color w:val="000000"/>
          <w:sz w:val="20"/>
          <w:szCs w:val="20"/>
          <w:lang w:eastAsia="zh-CN"/>
        </w:rPr>
        <w:t>、</w:t>
      </w:r>
      <w:r>
        <w:rPr>
          <w:rFonts w:hint="eastAsia" w:ascii="宋体" w:hAnsi="宋体"/>
          <w:color w:val="000000"/>
          <w:sz w:val="20"/>
          <w:szCs w:val="20"/>
        </w:rPr>
        <w:t>生产部</w:t>
      </w:r>
      <w:r>
        <w:rPr>
          <w:rFonts w:hint="eastAsia" w:ascii="宋体" w:hAnsi="宋体"/>
          <w:color w:val="000000"/>
          <w:sz w:val="20"/>
          <w:szCs w:val="20"/>
          <w:lang w:eastAsia="zh-CN"/>
        </w:rPr>
        <w:t>、</w:t>
      </w:r>
      <w:r>
        <w:rPr>
          <w:rFonts w:hint="eastAsia" w:ascii="宋体" w:hAnsi="宋体"/>
          <w:color w:val="000000"/>
          <w:sz w:val="20"/>
          <w:szCs w:val="20"/>
        </w:rPr>
        <w:t>市场部</w:t>
      </w:r>
    </w:p>
    <w:p>
      <w:pPr>
        <w:spacing w:line="300" w:lineRule="auto"/>
        <w:ind w:firstLine="269" w:firstLineChars="134"/>
        <w:rPr>
          <w:rFonts w:hint="default" w:ascii="宋体" w:hAnsi="宋体"/>
          <w:color w:val="000000"/>
          <w:sz w:val="20"/>
          <w:szCs w:val="20"/>
          <w:lang w:val="en-US" w:eastAsia="zh-CN"/>
        </w:rPr>
      </w:pPr>
      <w:r>
        <w:rPr>
          <w:rFonts w:hint="eastAsia" w:ascii="宋体" w:hAnsi="宋体"/>
          <w:b/>
          <w:color w:val="000000"/>
          <w:sz w:val="20"/>
          <w:szCs w:val="20"/>
        </w:rPr>
        <w:t>场所：</w:t>
      </w:r>
      <w:r>
        <w:rPr>
          <w:rFonts w:hint="eastAsia" w:ascii="宋体" w:hAnsi="宋体"/>
          <w:color w:val="000000"/>
          <w:sz w:val="20"/>
          <w:szCs w:val="20"/>
          <w:lang w:val="en-US" w:eastAsia="zh-CN"/>
        </w:rPr>
        <w:t>生产现场、办公场所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Times New Roman" w:hAnsi="Times New Roman" w:eastAsia="宋体" w:cs="Times New Roman"/>
                <w:szCs w:val="22"/>
                <w:lang w:val="en-US" w:eastAsia="zh-CN"/>
              </w:rPr>
            </w:pPr>
            <w:r>
              <w:rPr>
                <w:rFonts w:hint="eastAsia" w:ascii="宋体" w:hAnsi="宋体"/>
                <w:b/>
                <w:color w:val="000000"/>
                <w:sz w:val="20"/>
                <w:szCs w:val="20"/>
              </w:rPr>
              <w:t>产品：</w:t>
            </w:r>
            <w:r>
              <w:rPr>
                <w:rFonts w:hint="eastAsia" w:ascii="Times New Roman" w:hAnsi="Times New Roman" w:eastAsia="宋体" w:cs="Times New Roman"/>
                <w:szCs w:val="22"/>
                <w:lang w:val="en-US" w:eastAsia="zh-CN"/>
              </w:rPr>
              <w:t xml:space="preserve">一般机械零件加工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imes New Roman" w:hAnsi="Times New Roman" w:eastAsia="宋体" w:cs="Times New Roman"/>
                <w:szCs w:val="22"/>
                <w:lang w:val="en-US" w:eastAsia="zh-CN"/>
              </w:rPr>
              <w:t>管理层、总经办、生产部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imes New Roman" w:hAnsi="Times New Roman" w:eastAsia="宋体" w:cs="Times New Roman"/>
                <w:szCs w:val="22"/>
                <w:lang w:val="en-US" w:eastAsia="zh-CN"/>
              </w:rPr>
              <w:t>总经办</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imes New Roman" w:hAnsi="Times New Roman" w:eastAsia="宋体" w:cs="Times New Roman"/>
                <w:szCs w:val="22"/>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pStyle w:val="7"/>
              <w:spacing w:before="0" w:beforeAutospacing="0" w:after="0" w:afterAutospacing="0" w:line="240" w:lineRule="exact"/>
              <w:jc w:val="both"/>
              <w:rPr>
                <w:rFonts w:hint="eastAsia" w:ascii="宋体" w:eastAsia="宋体"/>
                <w:color w:val="000000"/>
                <w:sz w:val="20"/>
                <w:szCs w:val="20"/>
                <w:highlight w:val="green"/>
                <w:lang w:eastAsia="zh-CN"/>
              </w:rPr>
            </w:pPr>
            <w:r>
              <w:rPr>
                <w:rFonts w:hint="eastAsia" w:ascii="宋体" w:hAnsi="宋体"/>
                <w:color w:val="000000"/>
                <w:sz w:val="20"/>
                <w:szCs w:val="20"/>
              </w:rPr>
              <w:t>受审核方位于</w:t>
            </w:r>
            <w:r>
              <w:rPr>
                <w:rFonts w:hint="eastAsia" w:ascii="宋体" w:hAnsi="宋体"/>
                <w:color w:val="000000"/>
                <w:sz w:val="20"/>
                <w:szCs w:val="20"/>
                <w:highlight w:val="none"/>
              </w:rPr>
              <w:t>：</w:t>
            </w:r>
            <w:r>
              <w:rPr>
                <w:rFonts w:hint="eastAsia" w:ascii="宋体" w:hAnsi="宋体" w:cs="Times New Roman"/>
                <w:color w:val="auto"/>
                <w:kern w:val="2"/>
                <w:sz w:val="21"/>
                <w:szCs w:val="21"/>
                <w:lang w:val="en-US" w:eastAsia="zh-CN" w:bidi="ar-SA"/>
              </w:rPr>
              <w:t>四川省德阳市绵竹市城东新区105省道(旌湖苑西南）</w:t>
            </w:r>
          </w:p>
          <w:p>
            <w:pPr>
              <w:tabs>
                <w:tab w:val="left" w:pos="360"/>
              </w:tabs>
              <w:ind w:left="357" w:hanging="357"/>
              <w:rPr>
                <w:rFonts w:ascii="宋体"/>
                <w:color w:val="FF0000"/>
                <w:sz w:val="20"/>
                <w:szCs w:val="20"/>
                <w:highlight w:val="red"/>
              </w:rPr>
            </w:pPr>
            <w:r>
              <w:rPr>
                <w:rFonts w:hint="eastAsia" w:ascii="宋体" w:hAnsi="宋体"/>
                <w:color w:val="000000"/>
                <w:sz w:val="20"/>
                <w:szCs w:val="20"/>
              </w:rPr>
              <w:t>其使</w:t>
            </w:r>
            <w:r>
              <w:rPr>
                <w:rFonts w:hint="eastAsia" w:ascii="宋体" w:hAnsi="宋体"/>
                <w:color w:val="000000"/>
                <w:sz w:val="20"/>
                <w:szCs w:val="20"/>
                <w:highlight w:val="none"/>
              </w:rPr>
              <w:t>用的建筑设施是：□自建办公用房□自建厂房</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租用办公用房</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highlight w:val="none"/>
              </w:rPr>
              <w:t>运作方式：</w:t>
            </w:r>
            <w:r>
              <w:rPr>
                <w:rFonts w:hint="eastAsia" w:ascii="宋体" w:hAnsi="宋体"/>
                <w:color w:val="000000"/>
                <w:spacing w:val="-10"/>
                <w:sz w:val="20"/>
                <w:szCs w:val="20"/>
                <w:highlight w:val="none"/>
              </w:rPr>
              <w:t>□</w:t>
            </w:r>
            <w:r>
              <w:rPr>
                <w:rFonts w:hint="eastAsia" w:ascii="宋体" w:hAnsi="宋体"/>
                <w:color w:val="000000"/>
                <w:sz w:val="20"/>
                <w:szCs w:val="20"/>
                <w:highlight w:val="none"/>
              </w:rPr>
              <w:t>白班生产</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hint="eastAsia" w:ascii="宋体" w:hAnsi="宋体" w:eastAsia="宋体" w:cs="Times New Roman"/>
                <w:szCs w:val="21"/>
                <w:highlight w:val="none"/>
                <w:lang w:val="en-US"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s="Times New Roman"/>
                <w:szCs w:val="21"/>
                <w:lang w:val="en-US" w:eastAsia="zh-CN"/>
              </w:rPr>
              <w:t>普通机械</w:t>
            </w:r>
            <w:r>
              <w:rPr>
                <w:rFonts w:hint="eastAsia" w:ascii="宋体" w:hAnsi="宋体" w:eastAsia="宋体" w:cs="Times New Roman"/>
                <w:szCs w:val="21"/>
                <w:lang w:eastAsia="zh-CN"/>
              </w:rPr>
              <w:t>加工</w:t>
            </w:r>
            <w:r>
              <w:rPr>
                <w:rFonts w:hint="eastAsia" w:ascii="宋体" w:hAnsi="宋体" w:eastAsia="宋体" w:cs="Times New Roman"/>
                <w:szCs w:val="21"/>
                <w:highlight w:val="none"/>
              </w:rPr>
              <w:t>工艺装备基本术语GB/T 1008-2008</w:t>
            </w:r>
            <w:r>
              <w:rPr>
                <w:rFonts w:hint="eastAsia" w:ascii="宋体" w:hAnsi="宋体" w:eastAsia="宋体" w:cs="Times New Roman"/>
                <w:szCs w:val="21"/>
                <w:highlight w:val="none"/>
                <w:lang w:eastAsia="zh-CN"/>
              </w:rPr>
              <w:t>、</w:t>
            </w:r>
            <w:r>
              <w:rPr>
                <w:rFonts w:hint="eastAsia" w:ascii="宋体" w:hAnsi="宋体" w:cs="Times New Roman"/>
                <w:szCs w:val="21"/>
                <w:highlight w:val="none"/>
                <w:lang w:val="en-US" w:eastAsia="zh-CN"/>
              </w:rPr>
              <w:t>普通机械</w:t>
            </w:r>
            <w:r>
              <w:rPr>
                <w:rFonts w:hint="eastAsia" w:ascii="宋体" w:hAnsi="宋体" w:eastAsia="宋体" w:cs="Times New Roman"/>
                <w:szCs w:val="21"/>
                <w:highlight w:val="none"/>
                <w:lang w:eastAsia="zh-CN"/>
              </w:rPr>
              <w:t>加工</w:t>
            </w:r>
            <w:r>
              <w:rPr>
                <w:rFonts w:hint="eastAsia" w:ascii="宋体" w:hAnsi="宋体" w:eastAsia="宋体" w:cs="Times New Roman"/>
                <w:szCs w:val="21"/>
                <w:highlight w:val="none"/>
              </w:rPr>
              <w:t>定位、夹紧符号JB/T 5061-2006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械加工工艺守则JB/T 9168-2006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 xml:space="preserve">技术产品文件 </w:t>
            </w:r>
            <w:r>
              <w:rPr>
                <w:rFonts w:hint="eastAsia" w:ascii="宋体" w:hAnsi="宋体" w:cs="Times New Roman"/>
                <w:szCs w:val="21"/>
                <w:highlight w:val="none"/>
                <w:lang w:val="en-US" w:eastAsia="zh-CN"/>
              </w:rPr>
              <w:t>普通机械</w:t>
            </w:r>
            <w:r>
              <w:rPr>
                <w:rFonts w:hint="eastAsia" w:ascii="宋体" w:hAnsi="宋体" w:eastAsia="宋体" w:cs="Times New Roman"/>
                <w:szCs w:val="21"/>
                <w:highlight w:val="none"/>
                <w:lang w:eastAsia="zh-CN"/>
              </w:rPr>
              <w:t>加工</w:t>
            </w:r>
            <w:r>
              <w:rPr>
                <w:rFonts w:hint="eastAsia" w:ascii="宋体" w:hAnsi="宋体" w:eastAsia="宋体" w:cs="Times New Roman"/>
                <w:szCs w:val="21"/>
                <w:highlight w:val="none"/>
              </w:rPr>
              <w:t>定位、夹紧符号表示法GB/T 24740-2009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金属切削机床 术语GB/T 6477-2008</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倒圆半径和倒角高度尺寸的极限偏差数值GB/T1804-2000</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角度尺寸的极限偏差数值GB/T1804-2000</w:t>
            </w:r>
            <w:r>
              <w:rPr>
                <w:rFonts w:hint="eastAsia" w:ascii="宋体" w:hAnsi="宋体" w:eastAsia="宋体" w:cs="Times New Roman"/>
                <w:szCs w:val="21"/>
                <w:highlight w:val="none"/>
                <w:lang w:val="en-US" w:eastAsia="zh-CN"/>
              </w:rPr>
              <w:t>等</w:t>
            </w:r>
          </w:p>
          <w:p>
            <w:pPr>
              <w:spacing w:line="400" w:lineRule="exact"/>
              <w:rPr>
                <w:rFonts w:hint="eastAsia" w:ascii="宋体" w:hAnsi="宋体" w:eastAsia="宋体" w:cs="Times New Roman"/>
                <w:szCs w:val="21"/>
                <w:lang w:val="en-US" w:eastAsia="zh-CN"/>
              </w:rPr>
            </w:pP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现场是否有产品检验报告</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是否需要型式试验□是</w:t>
            </w:r>
            <w:r>
              <w:rPr>
                <w:rFonts w:hint="eastAsia" w:ascii="宋体"/>
                <w:color w:val="000000"/>
                <w:sz w:val="20"/>
                <w:szCs w:val="20"/>
                <w:highlight w:val="none"/>
                <w:lang w:eastAsia="zh-CN"/>
              </w:rPr>
              <w:t>■</w:t>
            </w:r>
            <w:r>
              <w:rPr>
                <w:rFonts w:hint="eastAsia" w:ascii="宋体"/>
                <w:color w:val="000000"/>
                <w:sz w:val="20"/>
                <w:szCs w:val="20"/>
                <w:highlight w:val="none"/>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是否接受了行政主管部门的抽查□是</w:t>
            </w:r>
            <w:r>
              <w:rPr>
                <w:rFonts w:hint="eastAsia" w:ascii="宋体"/>
                <w:color w:val="000000"/>
                <w:sz w:val="20"/>
                <w:szCs w:val="20"/>
                <w:lang w:eastAsia="zh-CN"/>
              </w:rPr>
              <w:t>■</w:t>
            </w:r>
            <w:r>
              <w:rPr>
                <w:rFonts w:hint="eastAsia" w:ascii="宋体"/>
                <w:color w:val="000000"/>
                <w:sz w:val="20"/>
                <w:szCs w:val="20"/>
              </w:rPr>
              <w:t>否，抽查结果□合格□不合格</w:t>
            </w:r>
          </w:p>
          <w:p>
            <w:pPr>
              <w:rPr>
                <w:rFonts w:hint="eastAsia" w:ascii="宋体"/>
                <w:color w:val="000000"/>
                <w:sz w:val="20"/>
                <w:szCs w:val="20"/>
              </w:rPr>
            </w:pPr>
            <w:r>
              <w:rPr>
                <w:rFonts w:hint="eastAsia" w:ascii="宋体"/>
                <w:color w:val="000000"/>
                <w:sz w:val="20"/>
                <w:szCs w:val="20"/>
              </w:rPr>
              <w:t>是否列入当地政府黑名单□是</w:t>
            </w:r>
            <w:r>
              <w:rPr>
                <w:rFonts w:hint="eastAsia" w:ascii="宋体"/>
                <w:color w:val="000000"/>
                <w:sz w:val="20"/>
                <w:szCs w:val="20"/>
                <w:lang w:eastAsia="zh-CN"/>
              </w:rPr>
              <w:t>■</w:t>
            </w:r>
            <w:r>
              <w:rPr>
                <w:rFonts w:hint="eastAsia" w:ascii="宋体"/>
                <w:color w:val="000000"/>
                <w:sz w:val="20"/>
                <w:szCs w:val="20"/>
              </w:rPr>
              <w:t>否</w:t>
            </w:r>
          </w:p>
          <w:p>
            <w:pPr>
              <w:rPr>
                <w:rFonts w:hint="eastAsia" w:ascii="宋体"/>
                <w:color w:val="000000"/>
                <w:sz w:val="20"/>
                <w:szCs w:val="20"/>
              </w:rPr>
            </w:pPr>
            <w:r>
              <w:rPr>
                <w:rFonts w:hint="eastAsia" w:ascii="宋体"/>
                <w:color w:val="000000"/>
                <w:sz w:val="20"/>
                <w:szCs w:val="20"/>
              </w:rPr>
              <w:t>是否有重大顾客投诉□是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szCs w:val="21"/>
              </w:rPr>
            </w:pPr>
            <w:r>
              <w:rPr>
                <w:rFonts w:hint="eastAsia"/>
                <w:szCs w:val="21"/>
              </w:rPr>
              <w:t>产品流程</w:t>
            </w:r>
          </w:p>
          <w:p>
            <w:pPr>
              <w:adjustRightInd w:val="0"/>
              <w:snapToGrid w:val="0"/>
              <w:spacing w:line="400" w:lineRule="exact"/>
              <w:rPr>
                <w:rFonts w:hint="eastAsia" w:ascii="宋体" w:hAnsi="宋体"/>
                <w:sz w:val="21"/>
                <w:szCs w:val="21"/>
                <w:highlight w:val="none"/>
                <w:lang w:val="en-US" w:eastAsia="zh-CN"/>
              </w:rPr>
            </w:pPr>
            <w:r>
              <w:rPr>
                <w:rFonts w:hint="eastAsia" w:ascii="宋体" w:hAnsi="宋体" w:eastAsia="宋体" w:cs="Times New Roman"/>
                <w:sz w:val="21"/>
                <w:szCs w:val="21"/>
                <w:highlight w:val="none"/>
                <w:lang w:val="en-US" w:eastAsia="zh-CN"/>
              </w:rPr>
              <w:t>来料---</w:t>
            </w:r>
            <w:r>
              <w:rPr>
                <w:rFonts w:hint="eastAsia" w:ascii="宋体" w:hAnsi="宋体" w:cs="Times New Roman"/>
                <w:sz w:val="21"/>
                <w:szCs w:val="21"/>
                <w:highlight w:val="none"/>
                <w:lang w:val="en-US" w:eastAsia="zh-CN"/>
              </w:rPr>
              <w:t>粗铣加工</w:t>
            </w:r>
            <w:r>
              <w:rPr>
                <w:rFonts w:hint="eastAsia" w:ascii="宋体" w:hAnsi="宋体" w:eastAsia="宋体" w:cs="Times New Roman"/>
                <w:sz w:val="21"/>
                <w:szCs w:val="21"/>
                <w:highlight w:val="none"/>
                <w:lang w:val="en-US" w:eastAsia="zh-CN"/>
              </w:rPr>
              <w:t>---精</w:t>
            </w:r>
            <w:r>
              <w:rPr>
                <w:rFonts w:hint="eastAsia" w:ascii="宋体" w:hAnsi="宋体" w:cs="Times New Roman"/>
                <w:sz w:val="21"/>
                <w:szCs w:val="21"/>
                <w:highlight w:val="none"/>
                <w:lang w:val="en-US" w:eastAsia="zh-CN"/>
              </w:rPr>
              <w:t>铣</w:t>
            </w:r>
            <w:r>
              <w:rPr>
                <w:rFonts w:hint="eastAsia" w:ascii="宋体" w:hAnsi="宋体" w:eastAsia="宋体" w:cs="Times New Roman"/>
                <w:sz w:val="21"/>
                <w:szCs w:val="21"/>
                <w:highlight w:val="none"/>
                <w:lang w:val="en-US" w:eastAsia="zh-CN"/>
              </w:rPr>
              <w:t>加工---</w:t>
            </w:r>
            <w:r>
              <w:rPr>
                <w:rFonts w:hint="eastAsia" w:ascii="宋体" w:hAnsi="宋体" w:cs="Times New Roman"/>
                <w:sz w:val="21"/>
                <w:szCs w:val="21"/>
                <w:highlight w:val="none"/>
                <w:lang w:val="en-US" w:eastAsia="zh-CN"/>
              </w:rPr>
              <w:t>扩孔</w:t>
            </w:r>
            <w:r>
              <w:rPr>
                <w:rFonts w:hint="eastAsia" w:ascii="宋体" w:hAnsi="宋体" w:eastAsia="宋体" w:cs="Times New Roman"/>
                <w:sz w:val="21"/>
                <w:szCs w:val="21"/>
                <w:highlight w:val="none"/>
                <w:lang w:val="en-US" w:eastAsia="zh-CN"/>
              </w:rPr>
              <w:t>——</w:t>
            </w:r>
            <w:r>
              <w:rPr>
                <w:rFonts w:hint="eastAsia" w:ascii="宋体" w:hAnsi="宋体" w:cs="Times New Roman"/>
                <w:sz w:val="21"/>
                <w:szCs w:val="21"/>
                <w:highlight w:val="none"/>
                <w:lang w:val="en-US" w:eastAsia="zh-CN"/>
              </w:rPr>
              <w:t>攻丝</w:t>
            </w:r>
            <w:r>
              <w:rPr>
                <w:rFonts w:hint="eastAsia" w:ascii="宋体" w:hAnsi="宋体" w:eastAsia="宋体" w:cs="Times New Roman"/>
                <w:sz w:val="21"/>
                <w:szCs w:val="21"/>
                <w:highlight w:val="none"/>
                <w:lang w:val="en-US" w:eastAsia="zh-CN"/>
              </w:rPr>
              <w:t>——</w:t>
            </w:r>
            <w:r>
              <w:rPr>
                <w:rFonts w:hint="eastAsia" w:ascii="宋体" w:hAnsi="宋体" w:cs="Times New Roman"/>
                <w:sz w:val="21"/>
                <w:szCs w:val="21"/>
                <w:highlight w:val="none"/>
                <w:lang w:val="en-US" w:eastAsia="zh-CN"/>
              </w:rPr>
              <w:t>去毛刺</w:t>
            </w:r>
            <w:r>
              <w:rPr>
                <w:rFonts w:hint="eastAsia" w:ascii="宋体" w:hAnsi="宋体" w:eastAsia="宋体" w:cs="Times New Roman"/>
                <w:sz w:val="21"/>
                <w:szCs w:val="21"/>
                <w:highlight w:val="none"/>
                <w:lang w:val="en-US" w:eastAsia="zh-CN"/>
              </w:rPr>
              <w:t>——入库</w:t>
            </w:r>
          </w:p>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color w:val="000000"/>
                <w:sz w:val="20"/>
                <w:szCs w:val="20"/>
                <w:highlight w:val="none"/>
                <w:lang w:val="en-US"/>
              </w:rPr>
            </w:pPr>
            <w:r>
              <w:rPr>
                <w:rFonts w:hint="eastAsia" w:ascii="宋体" w:hAnsi="宋体"/>
                <w:color w:val="000000"/>
                <w:sz w:val="20"/>
                <w:szCs w:val="20"/>
                <w:highlight w:val="none"/>
              </w:rPr>
              <w:t>关键过程有：</w:t>
            </w:r>
            <w:r>
              <w:rPr>
                <w:rFonts w:hint="eastAsia" w:ascii="宋体" w:hAnsi="宋体"/>
                <w:sz w:val="21"/>
                <w:szCs w:val="21"/>
                <w:highlight w:val="none"/>
                <w:lang w:val="en-US" w:eastAsia="zh-CN"/>
              </w:rPr>
              <w:t>精加工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highlight w:val="none"/>
              </w:rPr>
            </w:pPr>
            <w:r>
              <w:rPr>
                <w:rFonts w:hint="eastAsia" w:ascii="宋体" w:hAnsi="宋体"/>
                <w:color w:val="000000"/>
                <w:sz w:val="20"/>
                <w:szCs w:val="20"/>
                <w:highlight w:val="none"/>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highlight w:val="none"/>
              </w:rPr>
            </w:pPr>
            <w:r>
              <w:rPr>
                <w:rFonts w:hint="eastAsia" w:ascii="宋体" w:hAnsi="宋体"/>
                <w:color w:val="000000"/>
                <w:sz w:val="20"/>
                <w:szCs w:val="20"/>
                <w:highlight w:val="none"/>
              </w:rPr>
              <w:t>需要确认过程：</w:t>
            </w:r>
            <w:r>
              <w:rPr>
                <w:rFonts w:hint="eastAsia" w:ascii="宋体" w:hAnsi="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否明确了过程的确认方法</w:t>
            </w:r>
            <w:r>
              <w:rPr>
                <w:rFonts w:hint="eastAsia" w:ascii="宋体"/>
                <w:color w:val="00000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否明确了过程的确认准则</w:t>
            </w:r>
            <w:r>
              <w:rPr>
                <w:rFonts w:hint="eastAsia" w:ascii="宋体"/>
                <w:color w:val="00000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highlight w:val="none"/>
                <w:lang w:val="en-US" w:eastAsia="zh-CN"/>
              </w:rPr>
            </w:pPr>
            <w:r>
              <w:rPr>
                <w:rFonts w:hint="eastAsia" w:ascii="宋体" w:hAnsi="宋体"/>
                <w:color w:val="000000"/>
                <w:sz w:val="20"/>
                <w:szCs w:val="20"/>
                <w:highlight w:val="none"/>
              </w:rPr>
              <w:t>外包过程有：</w:t>
            </w:r>
            <w:r>
              <w:rPr>
                <w:rFonts w:hint="eastAsia" w:ascii="宋体" w:hAnsi="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合同、技术协议书。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eastAsia="宋体"/>
                <w:szCs w:val="21"/>
                <w:highlight w:val="none"/>
                <w:lang w:eastAsia="zh-CN"/>
              </w:rPr>
            </w:pPr>
            <w:r>
              <w:rPr>
                <w:rFonts w:hint="eastAsia" w:ascii="宋体"/>
                <w:color w:val="000000"/>
                <w:sz w:val="20"/>
                <w:szCs w:val="20"/>
              </w:rPr>
              <w:t>主要设备：</w:t>
            </w:r>
            <w:r>
              <w:rPr>
                <w:rFonts w:hint="eastAsia" w:ascii="宋体" w:hAnsi="宋体" w:eastAsia="宋体" w:cs="Times New Roman"/>
                <w:color w:val="auto"/>
                <w:szCs w:val="21"/>
                <w:highlight w:val="none"/>
                <w:lang w:val="en-US" w:eastAsia="zh-CN"/>
              </w:rPr>
              <w:t>铣床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钻床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角磨机</w:t>
            </w:r>
            <w:r>
              <w:rPr>
                <w:rFonts w:hint="eastAsia" w:ascii="宋体" w:hAnsi="宋体" w:eastAsia="宋体" w:cs="Times New Roman"/>
                <w:color w:val="auto"/>
                <w:szCs w:val="21"/>
                <w:highlight w:val="none"/>
              </w:rPr>
              <w:t>等</w:t>
            </w:r>
            <w:r>
              <w:rPr>
                <w:rFonts w:hint="eastAsia" w:ascii="宋体" w:hAnsi="宋体" w:eastAsia="宋体" w:cs="Times New Roman"/>
                <w:color w:val="auto"/>
                <w:szCs w:val="21"/>
                <w:highlight w:val="none"/>
                <w:lang w:val="en-US" w:eastAsia="zh-CN"/>
              </w:rPr>
              <w:t>及</w:t>
            </w:r>
            <w:r>
              <w:rPr>
                <w:rFonts w:hint="eastAsia" w:ascii="宋体" w:hAnsi="宋体" w:eastAsia="宋体" w:cs="Times New Roman"/>
                <w:color w:val="auto"/>
                <w:szCs w:val="21"/>
                <w:highlight w:val="none"/>
              </w:rPr>
              <w:t>办公设备</w:t>
            </w:r>
            <w:r>
              <w:rPr>
                <w:rFonts w:hint="eastAsia" w:ascii="宋体" w:hAnsi="宋体" w:cs="宋体"/>
                <w:sz w:val="21"/>
                <w:szCs w:val="21"/>
                <w:highlight w:val="none"/>
                <w:lang w:eastAsia="zh-CN"/>
              </w:rPr>
              <w:t>。</w:t>
            </w:r>
          </w:p>
          <w:p>
            <w:pPr>
              <w:rPr>
                <w:rFonts w:hint="eastAsia" w:ascii="宋体" w:eastAsia="宋体"/>
                <w:color w:val="FF0000"/>
                <w:spacing w:val="-1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color w:val="000000" w:themeColor="text1"/>
                <w:sz w:val="21"/>
                <w:szCs w:val="21"/>
                <w:highlight w:val="none"/>
                <w:lang w:val="en-US" w:eastAsia="zh-CN"/>
              </w:rPr>
            </w:pPr>
            <w:r>
              <w:rPr>
                <w:rFonts w:hint="eastAsia" w:ascii="宋体"/>
                <w:color w:val="000000"/>
                <w:sz w:val="20"/>
                <w:szCs w:val="20"/>
                <w:highlight w:val="none"/>
              </w:rPr>
              <w:t>特种设备：</w:t>
            </w:r>
            <w:r>
              <w:rPr>
                <w:rFonts w:hint="eastAsia"/>
                <w:color w:val="000000" w:themeColor="text1"/>
                <w:sz w:val="21"/>
                <w:szCs w:val="21"/>
                <w:highlight w:val="none"/>
                <w:lang w:val="en-US" w:eastAsia="zh-CN"/>
              </w:rPr>
              <w:t>行车</w:t>
            </w:r>
          </w:p>
          <w:p>
            <w:pPr>
              <w:rPr>
                <w:rFonts w:hint="eastAsia"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color w:val="000000"/>
                <w:sz w:val="20"/>
                <w:szCs w:val="20"/>
                <w:lang w:val="en-US"/>
              </w:rPr>
            </w:pPr>
            <w:r>
              <w:rPr>
                <w:rFonts w:hint="eastAsia" w:ascii="宋体"/>
                <w:color w:val="000000"/>
                <w:sz w:val="20"/>
                <w:szCs w:val="20"/>
                <w:highlight w:val="none"/>
              </w:rPr>
              <w:t>监视和测量设备（请简述主要监视和测量设备）：</w:t>
            </w:r>
            <w:r>
              <w:rPr>
                <w:rFonts w:hint="eastAsia" w:ascii="宋体" w:hAnsi="宋体" w:cs="Times New Roman"/>
                <w:color w:val="auto"/>
                <w:szCs w:val="21"/>
                <w:highlight w:val="none"/>
                <w:lang w:val="en-US" w:eastAsia="zh-CN"/>
              </w:rPr>
              <w:t>游标卡尺，千分表，百分表等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color w:val="000000"/>
                <w:sz w:val="20"/>
                <w:szCs w:val="20"/>
              </w:rPr>
            </w:pPr>
            <w:r>
              <w:rPr>
                <w:rFonts w:hint="eastAsia" w:ascii="宋体"/>
                <w:color w:val="000000"/>
                <w:sz w:val="20"/>
                <w:szCs w:val="20"/>
              </w:rPr>
              <w:t>检测设备是否满足要求□是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highlight w:val="none"/>
              </w:rPr>
            </w:pPr>
            <w:r>
              <w:rPr>
                <w:rFonts w:hint="eastAsia" w:ascii="宋体" w:hAnsi="宋体"/>
                <w:b/>
                <w:color w:val="000000"/>
                <w:sz w:val="20"/>
                <w:szCs w:val="20"/>
                <w:highlight w:val="none"/>
              </w:rPr>
              <w:t>内部审核</w:t>
            </w:r>
          </w:p>
        </w:tc>
        <w:tc>
          <w:tcPr>
            <w:tcW w:w="8221" w:type="dxa"/>
          </w:tcPr>
          <w:p>
            <w:pPr>
              <w:jc w:val="both"/>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 w:val="21"/>
                <w:szCs w:val="21"/>
                <w:highlight w:val="none"/>
              </w:rPr>
              <w:t>建立有《内部审核控制程序</w:t>
            </w:r>
            <w:r>
              <w:rPr>
                <w:rFonts w:hint="eastAsia" w:eastAsia="宋体"/>
                <w:sz w:val="21"/>
                <w:szCs w:val="21"/>
                <w:highlight w:val="none"/>
              </w:rPr>
              <w:t>》，于</w:t>
            </w:r>
            <w:r>
              <w:rPr>
                <w:rFonts w:hint="eastAsia" w:eastAsia="宋体"/>
                <w:sz w:val="21"/>
                <w:szCs w:val="21"/>
                <w:highlight w:val="none"/>
                <w:lang w:eastAsia="zh-CN"/>
              </w:rPr>
              <w:t>202</w:t>
            </w:r>
            <w:r>
              <w:rPr>
                <w:rFonts w:hint="eastAsia" w:eastAsia="宋体"/>
                <w:sz w:val="21"/>
                <w:szCs w:val="21"/>
                <w:highlight w:val="none"/>
                <w:lang w:val="en-US" w:eastAsia="zh-CN"/>
              </w:rPr>
              <w:t>1</w:t>
            </w:r>
            <w:r>
              <w:rPr>
                <w:rFonts w:hint="eastAsia" w:eastAsia="宋体"/>
                <w:sz w:val="21"/>
                <w:szCs w:val="21"/>
                <w:highlight w:val="none"/>
                <w:lang w:eastAsia="zh-CN"/>
              </w:rPr>
              <w:t xml:space="preserve">年 </w:t>
            </w:r>
            <w:r>
              <w:rPr>
                <w:rFonts w:hint="eastAsia" w:eastAsia="宋体"/>
                <w:sz w:val="21"/>
                <w:szCs w:val="21"/>
                <w:highlight w:val="none"/>
                <w:lang w:val="en-US" w:eastAsia="zh-CN"/>
              </w:rPr>
              <w:t>3</w:t>
            </w:r>
            <w:r>
              <w:rPr>
                <w:rFonts w:hint="eastAsia" w:eastAsia="宋体"/>
                <w:sz w:val="21"/>
                <w:szCs w:val="21"/>
                <w:highlight w:val="none"/>
                <w:lang w:eastAsia="zh-CN"/>
              </w:rPr>
              <w:t>月</w:t>
            </w:r>
            <w:r>
              <w:rPr>
                <w:rFonts w:hint="eastAsia" w:eastAsia="宋体"/>
                <w:sz w:val="21"/>
                <w:szCs w:val="21"/>
                <w:highlight w:val="none"/>
                <w:lang w:val="en-US" w:eastAsia="zh-CN"/>
              </w:rPr>
              <w:t>7</w:t>
            </w:r>
            <w:r>
              <w:rPr>
                <w:rFonts w:hint="eastAsia" w:eastAsia="宋体"/>
                <w:sz w:val="21"/>
                <w:szCs w:val="21"/>
                <w:highlight w:val="none"/>
                <w:lang w:eastAsia="zh-CN"/>
              </w:rPr>
              <w:t>日</w:t>
            </w:r>
            <w:r>
              <w:rPr>
                <w:rFonts w:hint="eastAsia" w:eastAsia="宋体"/>
                <w:sz w:val="21"/>
                <w:szCs w:val="21"/>
                <w:highlight w:val="none"/>
                <w:lang w:val="en-US" w:eastAsia="zh-CN"/>
              </w:rPr>
              <w:t>-2021年3月8日</w:t>
            </w:r>
            <w:r>
              <w:rPr>
                <w:rFonts w:hint="eastAsia" w:eastAsia="宋体"/>
                <w:sz w:val="21"/>
                <w:szCs w:val="21"/>
                <w:highlight w:val="none"/>
              </w:rPr>
              <w:t>进行了内部审核。内部审核组组成</w:t>
            </w:r>
            <w:r>
              <w:rPr>
                <w:rFonts w:hint="eastAsia" w:eastAsia="宋体"/>
                <w:sz w:val="21"/>
                <w:szCs w:val="21"/>
                <w:highlight w:val="none"/>
                <w:lang w:eastAsia="zh-CN"/>
              </w:rPr>
              <w:t>：</w:t>
            </w:r>
            <w:r>
              <w:rPr>
                <w:rFonts w:hint="eastAsia" w:ascii="宋体" w:hAnsi="宋体" w:eastAsia="宋体" w:cs="Times New Roman"/>
                <w:szCs w:val="21"/>
              </w:rPr>
              <w:t>组长：袁明华    组员：苏顺东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340" w:lineRule="exact"/>
              <w:rPr>
                <w:rFonts w:ascii="宋体" w:hAnsi="宋体"/>
                <w:b/>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p>
          <w:p>
            <w:pPr>
              <w:numPr>
                <w:ilvl w:val="0"/>
                <w:numId w:val="0"/>
              </w:numPr>
              <w:spacing w:line="340" w:lineRule="exact"/>
              <w:rPr>
                <w:rFonts w:ascii="仿宋" w:hAnsi="仿宋" w:eastAsia="仿宋"/>
                <w:sz w:val="24"/>
                <w:highlight w:val="none"/>
              </w:rPr>
            </w:pPr>
            <w:r>
              <w:rPr>
                <w:rFonts w:ascii="仿宋" w:hAnsi="仿宋" w:eastAsia="仿宋"/>
                <w:sz w:val="24"/>
                <w:highlight w:val="none"/>
              </w:rPr>
              <w:t>审核范围:</w:t>
            </w:r>
            <w:r>
              <w:rPr>
                <w:rFonts w:hint="eastAsia" w:ascii="仿宋" w:hAnsi="仿宋" w:eastAsia="仿宋"/>
                <w:sz w:val="24"/>
                <w:highlight w:val="none"/>
              </w:rPr>
              <w:t>管理体系</w:t>
            </w:r>
            <w:r>
              <w:rPr>
                <w:rFonts w:ascii="仿宋" w:hAnsi="仿宋" w:eastAsia="仿宋"/>
                <w:sz w:val="24"/>
                <w:highlight w:val="none"/>
              </w:rPr>
              <w:t>涉及的</w:t>
            </w:r>
            <w:r>
              <w:rPr>
                <w:rFonts w:hint="eastAsia" w:ascii="仿宋" w:hAnsi="仿宋" w:eastAsia="仿宋"/>
                <w:sz w:val="24"/>
                <w:highlight w:val="none"/>
              </w:rPr>
              <w:t>公司</w:t>
            </w:r>
            <w:r>
              <w:rPr>
                <w:rFonts w:ascii="仿宋" w:hAnsi="仿宋" w:eastAsia="仿宋"/>
                <w:sz w:val="24"/>
                <w:highlight w:val="none"/>
              </w:rPr>
              <w:t>所有部门</w:t>
            </w:r>
            <w:r>
              <w:rPr>
                <w:rFonts w:hint="eastAsia" w:ascii="仿宋" w:hAnsi="仿宋" w:eastAsia="仿宋"/>
                <w:sz w:val="24"/>
                <w:highlight w:val="none"/>
              </w:rPr>
              <w:t>、生产车间</w:t>
            </w:r>
            <w:r>
              <w:rPr>
                <w:rFonts w:ascii="仿宋" w:hAnsi="仿宋" w:eastAsia="仿宋"/>
                <w:sz w:val="24"/>
                <w:highlight w:val="none"/>
              </w:rPr>
              <w:t>及</w:t>
            </w:r>
            <w:r>
              <w:rPr>
                <w:rFonts w:hint="eastAsia" w:ascii="仿宋" w:hAnsi="仿宋" w:eastAsia="仿宋"/>
                <w:sz w:val="24"/>
                <w:highlight w:val="none"/>
              </w:rPr>
              <w:t>活动场所</w:t>
            </w:r>
            <w:r>
              <w:rPr>
                <w:rFonts w:ascii="仿宋" w:hAnsi="仿宋" w:eastAsia="仿宋"/>
                <w:sz w:val="24"/>
                <w:highlight w:val="none"/>
              </w:rPr>
              <w:t>。</w:t>
            </w:r>
          </w:p>
          <w:p>
            <w:pPr>
              <w:numPr>
                <w:ilvl w:val="0"/>
                <w:numId w:val="0"/>
              </w:numPr>
              <w:spacing w:line="340" w:lineRule="exact"/>
              <w:rPr>
                <w:rFonts w:ascii="宋体"/>
                <w:b/>
                <w:color w:val="000000"/>
                <w:sz w:val="20"/>
                <w:szCs w:val="20"/>
                <w:highlight w:val="none"/>
              </w:rPr>
            </w:pPr>
            <w:r>
              <w:rPr>
                <w:rFonts w:ascii="仿宋" w:hAnsi="仿宋" w:eastAsia="仿宋"/>
                <w:sz w:val="24"/>
                <w:highlight w:val="none"/>
              </w:rPr>
              <w:t>审核准则：</w:t>
            </w:r>
            <w:r>
              <w:rPr>
                <w:rFonts w:hint="eastAsia" w:ascii="仿宋" w:hAnsi="仿宋" w:eastAsia="仿宋"/>
                <w:sz w:val="24"/>
                <w:highlight w:val="none"/>
              </w:rPr>
              <w:t xml:space="preserve">a.GB/T </w:t>
            </w:r>
            <w:r>
              <w:rPr>
                <w:rFonts w:hint="eastAsia" w:ascii="仿宋" w:hAnsi="仿宋" w:eastAsia="仿宋" w:cs="Times New Roman"/>
                <w:sz w:val="24"/>
                <w:highlight w:val="none"/>
              </w:rPr>
              <w:t>19001</w:t>
            </w:r>
            <w:r>
              <w:rPr>
                <w:rFonts w:hint="eastAsia" w:ascii="仿宋" w:hAnsi="仿宋" w:eastAsia="仿宋"/>
                <w:sz w:val="24"/>
                <w:highlight w:val="none"/>
              </w:rPr>
              <w:t>:2016、标准</w:t>
            </w:r>
            <w:r>
              <w:rPr>
                <w:rFonts w:ascii="仿宋" w:hAnsi="仿宋" w:eastAsia="仿宋"/>
                <w:sz w:val="24"/>
                <w:highlight w:val="none"/>
              </w:rPr>
              <w:t>；</w:t>
            </w:r>
            <w:r>
              <w:rPr>
                <w:rFonts w:hint="eastAsia" w:ascii="仿宋" w:hAnsi="仿宋" w:eastAsia="仿宋"/>
                <w:sz w:val="24"/>
                <w:highlight w:val="none"/>
              </w:rPr>
              <w:t xml:space="preserve"> b.</w:t>
            </w:r>
            <w:r>
              <w:rPr>
                <w:rFonts w:ascii="仿宋" w:hAnsi="仿宋" w:eastAsia="仿宋"/>
                <w:sz w:val="24"/>
                <w:highlight w:val="none"/>
              </w:rPr>
              <w:t>本公司管理体系文件；</w:t>
            </w:r>
            <w:r>
              <w:rPr>
                <w:rFonts w:hint="eastAsia" w:ascii="仿宋" w:hAnsi="仿宋" w:eastAsia="仿宋"/>
                <w:sz w:val="24"/>
                <w:highlight w:val="none"/>
              </w:rPr>
              <w:t>c.</w:t>
            </w:r>
            <w:r>
              <w:rPr>
                <w:rFonts w:ascii="仿宋" w:hAnsi="仿宋" w:eastAsia="仿宋"/>
                <w:sz w:val="24"/>
                <w:highlight w:val="none"/>
              </w:rPr>
              <w:t>相关的法律法规；</w:t>
            </w:r>
            <w:r>
              <w:rPr>
                <w:rFonts w:hint="eastAsia" w:ascii="仿宋" w:hAnsi="仿宋" w:eastAsia="仿宋"/>
                <w:sz w:val="24"/>
                <w:highlight w:val="none"/>
              </w:rPr>
              <w:t>d.顾客及</w:t>
            </w:r>
            <w:r>
              <w:rPr>
                <w:rFonts w:ascii="仿宋" w:hAnsi="仿宋" w:eastAsia="仿宋"/>
                <w:sz w:val="24"/>
                <w:highlight w:val="none"/>
              </w:rPr>
              <w:t>相关方要求</w:t>
            </w:r>
            <w:r>
              <w:rPr>
                <w:rFonts w:hint="eastAsia" w:ascii="仿宋" w:hAnsi="仿宋" w:eastAsia="仿宋"/>
                <w:sz w:val="24"/>
                <w:highlight w:val="none"/>
              </w:rPr>
              <w:t>等</w:t>
            </w:r>
            <w:r>
              <w:rPr>
                <w:rFonts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hAnsi="宋体"/>
                <w:b/>
                <w:color w:val="000000"/>
                <w:sz w:val="20"/>
                <w:szCs w:val="20"/>
                <w:highlight w:val="none"/>
              </w:rPr>
            </w:pPr>
            <w:r>
              <w:rPr>
                <w:rFonts w:hint="eastAsia" w:ascii="宋体" w:hAnsi="宋体"/>
                <w:b/>
                <w:color w:val="000000"/>
                <w:sz w:val="20"/>
                <w:szCs w:val="20"/>
                <w:highlight w:val="none"/>
              </w:rPr>
              <w:t>了解内审结论是什么？</w:t>
            </w:r>
          </w:p>
          <w:p>
            <w:pPr>
              <w:numPr>
                <w:ilvl w:val="0"/>
                <w:numId w:val="0"/>
              </w:numPr>
              <w:spacing w:line="340" w:lineRule="exact"/>
              <w:ind w:firstLine="480" w:firstLineChars="200"/>
              <w:rPr>
                <w:rFonts w:ascii="仿宋" w:hAnsi="仿宋" w:eastAsia="仿宋" w:cs="Times New Roman"/>
                <w:sz w:val="24"/>
                <w:highlight w:val="none"/>
              </w:rPr>
            </w:pPr>
            <w:r>
              <w:rPr>
                <w:rFonts w:hint="eastAsia" w:ascii="仿宋" w:hAnsi="仿宋" w:eastAsia="仿宋" w:cs="Times New Roman"/>
                <w:sz w:val="24"/>
                <w:highlight w:val="none"/>
              </w:rPr>
              <w:t>本次内审对2015版标准体系文件管理手册、体系文件进行了全面检查，通过审核可以看出管理体系已基本进入了正常状态，但仍存在一些问题，需要完善现场作业及加强各类人员的培训。</w:t>
            </w:r>
          </w:p>
          <w:p>
            <w:pPr>
              <w:numPr>
                <w:ilvl w:val="0"/>
                <w:numId w:val="0"/>
              </w:numPr>
              <w:spacing w:line="340" w:lineRule="exact"/>
              <w:ind w:firstLine="480" w:firstLineChars="200"/>
              <w:rPr>
                <w:rFonts w:ascii="仿宋" w:hAnsi="仿宋" w:eastAsia="仿宋" w:cs="Times New Roman"/>
                <w:sz w:val="24"/>
                <w:highlight w:val="none"/>
              </w:rPr>
            </w:pPr>
            <w:r>
              <w:rPr>
                <w:rFonts w:hint="eastAsia" w:ascii="仿宋" w:hAnsi="仿宋" w:eastAsia="仿宋" w:cs="Times New Roman"/>
                <w:sz w:val="24"/>
                <w:highlight w:val="none"/>
              </w:rPr>
              <w:t>各部门需要对内审开出的不符合项报告认真整改，并做到举一反三，以点带面，通过纠正预防措施的执行，使管理体系正常而有效运行。</w:t>
            </w:r>
          </w:p>
          <w:p>
            <w:pPr>
              <w:numPr>
                <w:ilvl w:val="0"/>
                <w:numId w:val="0"/>
              </w:numPr>
              <w:spacing w:line="340" w:lineRule="exact"/>
              <w:ind w:firstLine="480" w:firstLineChars="200"/>
              <w:rPr>
                <w:rFonts w:ascii="宋体" w:hAnsi="宋体"/>
                <w:b/>
                <w:color w:val="000000"/>
                <w:sz w:val="20"/>
                <w:szCs w:val="20"/>
                <w:highlight w:val="none"/>
              </w:rPr>
            </w:pPr>
            <w:r>
              <w:rPr>
                <w:rFonts w:hint="eastAsia" w:ascii="仿宋" w:hAnsi="仿宋" w:eastAsia="仿宋" w:cs="Times New Roman"/>
                <w:sz w:val="24"/>
                <w:highlight w:val="none"/>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highlight w:val="none"/>
              </w:rPr>
            </w:pPr>
            <w:r>
              <w:rPr>
                <w:rFonts w:hint="eastAsia" w:ascii="宋体" w:hAnsi="宋体"/>
                <w:b/>
                <w:color w:val="000000"/>
                <w:sz w:val="20"/>
                <w:szCs w:val="20"/>
                <w:highlight w:val="none"/>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w:t>
            </w:r>
            <w:r>
              <w:rPr>
                <w:rFonts w:hint="eastAsia" w:ascii="Times New Roman" w:hAnsi="Times New Roman" w:eastAsia="宋体" w:cs="Times New Roman"/>
                <w:szCs w:val="21"/>
                <w:highlight w:val="none"/>
              </w:rPr>
              <w:t>于</w:t>
            </w:r>
            <w:r>
              <w:rPr>
                <w:rFonts w:hint="eastAsia" w:ascii="Times New Roman" w:hAnsi="Times New Roman" w:eastAsia="宋体" w:cs="Times New Roman"/>
                <w:szCs w:val="21"/>
                <w:highlight w:val="none"/>
                <w:lang w:eastAsia="zh-CN"/>
              </w:rPr>
              <w:t>202</w:t>
            </w: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lang w:eastAsia="zh-CN"/>
              </w:rPr>
              <w:t>年</w:t>
            </w: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lang w:eastAsia="zh-CN"/>
              </w:rPr>
              <w:t>月</w:t>
            </w:r>
            <w:r>
              <w:rPr>
                <w:rFonts w:hint="eastAsia" w:ascii="Times New Roman" w:hAnsi="Times New Roman" w:eastAsia="宋体" w:cs="Times New Roman"/>
                <w:szCs w:val="21"/>
                <w:highlight w:val="none"/>
                <w:lang w:val="en-US" w:eastAsia="zh-CN"/>
              </w:rPr>
              <w:t>26</w:t>
            </w:r>
            <w:r>
              <w:rPr>
                <w:rFonts w:hint="eastAsia" w:ascii="Times New Roman" w:hAnsi="Times New Roman" w:eastAsia="宋体" w:cs="Times New Roman"/>
                <w:szCs w:val="21"/>
                <w:highlight w:val="none"/>
                <w:lang w:eastAsia="zh-CN"/>
              </w:rPr>
              <w:t>日</w:t>
            </w:r>
            <w:r>
              <w:rPr>
                <w:rFonts w:hint="eastAsia" w:ascii="Times New Roman" w:hAnsi="Times New Roman" w:eastAsia="宋体" w:cs="Times New Roman"/>
                <w:szCs w:val="21"/>
                <w:highlight w:val="none"/>
              </w:rPr>
              <w:t>就管理</w:t>
            </w:r>
            <w:r>
              <w:rPr>
                <w:rFonts w:hint="eastAsia"/>
                <w:szCs w:val="21"/>
                <w:highlight w:val="none"/>
              </w:rPr>
              <w:t>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adjustRightInd w:val="0"/>
              <w:spacing w:line="400" w:lineRule="exact"/>
              <w:textAlignment w:val="baseline"/>
              <w:rPr>
                <w:rFonts w:ascii="宋体"/>
                <w:b/>
                <w:color w:val="000000"/>
                <w:sz w:val="20"/>
                <w:szCs w:val="20"/>
                <w:highlight w:val="none"/>
              </w:rPr>
            </w:pPr>
            <w:r>
              <w:rPr>
                <w:rFonts w:hint="eastAsia" w:ascii="宋体" w:hAnsi="宋体"/>
                <w:b/>
                <w:color w:val="000000"/>
                <w:sz w:val="20"/>
                <w:szCs w:val="20"/>
                <w:highlight w:val="none"/>
              </w:rPr>
              <w:t>了解管理评审输入是否充分</w:t>
            </w:r>
            <w:r>
              <w:rPr>
                <w:rFonts w:ascii="宋体" w:hAnsi="宋体"/>
                <w:b/>
                <w:color w:val="000000"/>
                <w:sz w:val="20"/>
                <w:szCs w:val="20"/>
                <w:highlight w:val="none"/>
              </w:rPr>
              <w:t xml:space="preserve">; </w:t>
            </w:r>
            <w:r>
              <w:rPr>
                <w:rFonts w:hint="eastAsia" w:ascii="宋体" w:hAnsi="宋体"/>
                <w:kern w:val="0"/>
                <w:szCs w:val="21"/>
                <w:highlight w:val="none"/>
              </w:rPr>
              <w:t>提供主要输入材料有：各部门总结，</w:t>
            </w:r>
            <w:r>
              <w:rPr>
                <w:rFonts w:hint="eastAsia" w:ascii="宋体"/>
                <w:kern w:val="0"/>
                <w:szCs w:val="21"/>
                <w:highlight w:val="none"/>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了解管理评审结论</w:t>
            </w:r>
            <w:r>
              <w:rPr>
                <w:rFonts w:ascii="宋体" w:hAnsi="宋体"/>
                <w:b/>
                <w:color w:val="000000"/>
                <w:sz w:val="20"/>
                <w:szCs w:val="20"/>
                <w:highlight w:val="none"/>
              </w:rPr>
              <w:t xml:space="preserve">; </w:t>
            </w:r>
            <w:r>
              <w:rPr>
                <w:rFonts w:hint="eastAsia"/>
                <w:szCs w:val="21"/>
                <w:highlight w:val="none"/>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highlight w:val="none"/>
              </w:rPr>
            </w:pPr>
            <w:r>
              <w:rPr>
                <w:rFonts w:hint="eastAsia" w:ascii="宋体" w:hAnsi="宋体"/>
                <w:b/>
                <w:color w:val="000000"/>
                <w:sz w:val="20"/>
                <w:szCs w:val="20"/>
                <w:highlight w:val="none"/>
              </w:rPr>
              <w:t>评价受审核方对内审和管理评审的关注情况，是否已为二阶段审核做好准备</w:t>
            </w:r>
            <w:r>
              <w:rPr>
                <w:rFonts w:ascii="宋体" w:hAnsi="宋体"/>
                <w:b/>
                <w:color w:val="000000"/>
                <w:sz w:val="20"/>
                <w:szCs w:val="20"/>
                <w:highlight w:val="none"/>
              </w:rPr>
              <w:t xml:space="preserve">: </w:t>
            </w:r>
            <w:r>
              <w:rPr>
                <w:rFonts w:hint="eastAsia" w:ascii="宋体" w:hAnsi="宋体"/>
                <w:b/>
                <w:color w:val="000000"/>
                <w:sz w:val="20"/>
                <w:szCs w:val="20"/>
                <w:highlight w:val="none"/>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u w:val="single"/>
          <w:lang w:val="en-US" w:eastAsia="zh-CN"/>
        </w:rPr>
      </w:pPr>
      <w:r>
        <w:rPr>
          <w:rFonts w:ascii="宋体" w:hAnsi="宋体"/>
          <w:b/>
          <w:color w:val="000000"/>
          <w:sz w:val="20"/>
          <w:szCs w:val="20"/>
        </w:rPr>
        <w:t>QMS:</w:t>
      </w:r>
      <w:r>
        <w:rPr>
          <w:rFonts w:hint="eastAsia" w:ascii="宋体" w:hAnsi="宋体"/>
          <w:b/>
          <w:color w:val="000000"/>
          <w:sz w:val="20"/>
          <w:szCs w:val="20"/>
          <w:lang w:val="en-US" w:eastAsia="zh-CN"/>
        </w:rPr>
        <w:t xml:space="preserve"> </w:t>
      </w:r>
      <w:r>
        <w:rPr>
          <w:rFonts w:hint="eastAsia"/>
          <w:sz w:val="20"/>
          <w:u w:val="single"/>
          <w:lang w:val="en-US" w:eastAsia="zh-CN"/>
        </w:rPr>
        <w:t>一般机械零件加工</w:t>
      </w:r>
      <w:r>
        <w:rPr>
          <w:rFonts w:hint="eastAsia" w:ascii="宋体" w:hAnsi="宋体"/>
          <w:szCs w:val="21"/>
          <w:u w:val="single"/>
          <w:lang w:eastAsia="zh-CN"/>
        </w:rPr>
        <w:t>。</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1889125</wp:posOffset>
            </wp:positionH>
            <wp:positionV relativeFrom="paragraph">
              <wp:posOffset>24130</wp:posOffset>
            </wp:positionV>
            <wp:extent cx="683895" cy="271145"/>
            <wp:effectExtent l="0" t="0" r="1905" b="825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6"/>
                    <a:stretch>
                      <a:fillRect/>
                    </a:stretch>
                  </pic:blipFill>
                  <pic:spPr>
                    <a:xfrm>
                      <a:off x="0" y="0"/>
                      <a:ext cx="683895" cy="271145"/>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eastAsia="宋体"/>
          <w:b/>
          <w:color w:val="000000"/>
          <w:sz w:val="26"/>
          <w:szCs w:val="26"/>
          <w:lang w:eastAsia="zh-CN"/>
        </w:rPr>
      </w:pPr>
      <w:r>
        <w:rPr>
          <w:rFonts w:hint="eastAsia" w:ascii="宋体" w:hAnsi="宋体"/>
          <w:b/>
          <w:color w:val="000000"/>
        </w:rPr>
        <w:t>日期</w:t>
      </w:r>
      <w:r>
        <w:rPr>
          <w:rFonts w:ascii="宋体" w:hAnsi="宋体"/>
          <w:b/>
          <w:color w:val="000000"/>
        </w:rPr>
        <w:t xml:space="preserve">:  </w:t>
      </w:r>
      <w:r>
        <w:rPr>
          <w:rFonts w:hint="eastAsia"/>
          <w:color w:val="000000"/>
          <w:szCs w:val="21"/>
          <w:lang w:eastAsia="zh-CN"/>
        </w:rPr>
        <w:t>202</w:t>
      </w:r>
      <w:r>
        <w:rPr>
          <w:rFonts w:hint="eastAsia"/>
          <w:color w:val="000000"/>
          <w:szCs w:val="21"/>
          <w:lang w:val="en-US" w:eastAsia="zh-CN"/>
        </w:rPr>
        <w:t>1</w:t>
      </w:r>
      <w:r>
        <w:rPr>
          <w:rFonts w:hint="eastAsia"/>
          <w:color w:val="000000"/>
          <w:szCs w:val="21"/>
          <w:lang w:eastAsia="zh-CN"/>
        </w:rPr>
        <w:t>年</w:t>
      </w:r>
      <w:r>
        <w:rPr>
          <w:rFonts w:hint="eastAsia"/>
          <w:color w:val="000000"/>
          <w:szCs w:val="21"/>
          <w:lang w:val="en-US" w:eastAsia="zh-CN"/>
        </w:rPr>
        <w:t>4</w:t>
      </w:r>
      <w:r>
        <w:rPr>
          <w:rFonts w:hint="eastAsia"/>
          <w:color w:val="000000"/>
          <w:szCs w:val="21"/>
          <w:lang w:eastAsia="zh-CN"/>
        </w:rPr>
        <w:t>月</w:t>
      </w:r>
      <w:r>
        <w:rPr>
          <w:rFonts w:hint="eastAsia"/>
          <w:color w:val="000000"/>
          <w:szCs w:val="21"/>
          <w:lang w:val="en-US" w:eastAsia="zh-CN"/>
        </w:rPr>
        <w:t>19</w:t>
      </w:r>
      <w:r>
        <w:rPr>
          <w:rFonts w:hint="eastAsia"/>
          <w:color w:val="000000"/>
          <w:szCs w:val="21"/>
          <w:lang w:eastAsia="zh-CN"/>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b/>
          <w:sz w:val="21"/>
        </w:rPr>
        <w:t>四川盛博机电设备有限公司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spacing w:line="400" w:lineRule="exact"/>
              <w:rPr>
                <w:rFonts w:hint="default" w:eastAsia="宋体"/>
                <w:szCs w:val="21"/>
                <w:highlight w:val="none"/>
                <w:lang w:val="en-US" w:eastAsia="zh-CN"/>
              </w:rPr>
            </w:pPr>
            <w:r>
              <w:rPr>
                <w:rFonts w:hint="eastAsia"/>
                <w:color w:val="000000" w:themeColor="text1"/>
                <w:sz w:val="21"/>
                <w:szCs w:val="21"/>
                <w:highlight w:val="none"/>
                <w:lang w:val="en-US" w:eastAsia="zh-CN"/>
              </w:rPr>
              <w:t>提供的</w:t>
            </w:r>
            <w:r>
              <w:rPr>
                <w:rFonts w:hint="eastAsia" w:ascii="宋体" w:hAnsi="宋体" w:cs="Times New Roman"/>
                <w:color w:val="auto"/>
                <w:szCs w:val="21"/>
                <w:highlight w:val="none"/>
                <w:lang w:val="en-US" w:eastAsia="zh-CN"/>
              </w:rPr>
              <w:t>游标卡尺，千分表，百分表</w:t>
            </w:r>
            <w:r>
              <w:rPr>
                <w:rFonts w:hint="eastAsia" w:ascii="宋体" w:hAnsi="宋体" w:cs="宋体"/>
                <w:kern w:val="0"/>
                <w:sz w:val="21"/>
                <w:szCs w:val="21"/>
                <w:highlight w:val="none"/>
              </w:rPr>
              <w:t>等</w:t>
            </w:r>
            <w:r>
              <w:rPr>
                <w:rFonts w:hint="eastAsia"/>
                <w:color w:val="000000" w:themeColor="text1"/>
                <w:sz w:val="21"/>
                <w:szCs w:val="21"/>
                <w:highlight w:val="none"/>
                <w:lang w:val="en-US" w:eastAsia="zh-CN"/>
              </w:rPr>
              <w:t>检测设备检定或校准证书已过期</w:t>
            </w:r>
            <w:r>
              <w:rPr>
                <w:rFonts w:hint="eastAsia" w:ascii="宋体" w:hAnsi="宋体" w:cs="宋体"/>
                <w:color w:val="000000"/>
                <w:szCs w:val="21"/>
                <w:highlight w:val="none"/>
              </w:rPr>
              <w:t>。</w:t>
            </w:r>
            <w:bookmarkStart w:id="25" w:name="_GoBack"/>
            <w:bookmarkEnd w:id="25"/>
          </w:p>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bookmarkStart w:id="24" w:name="审核依据"/>
            <w:r>
              <w:rPr>
                <w:rFonts w:hint="eastAsia" w:ascii="宋体" w:hAnsi="宋体"/>
                <w:snapToGrid w:val="0"/>
                <w:color w:val="000000"/>
                <w:kern w:val="0"/>
                <w:sz w:val="18"/>
                <w:szCs w:val="21"/>
              </w:rPr>
              <w:t>GB/T19001-2016/ISO9001:2015</w:t>
            </w:r>
            <w:bookmarkEnd w:id="24"/>
          </w:p>
        </w:tc>
        <w:tc>
          <w:tcPr>
            <w:tcW w:w="1811"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24"/>
                <w:szCs w:val="24"/>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1</w:t>
            </w:r>
            <w:r>
              <w:rPr>
                <w:rFonts w:hint="eastAsia"/>
                <w:b/>
                <w:color w:val="000000"/>
                <w:spacing w:val="-10"/>
                <w:szCs w:val="21"/>
              </w:rPr>
              <w:t>项，共</w:t>
            </w:r>
            <w:r>
              <w:rPr>
                <w:rFonts w:hint="eastAsia"/>
                <w:b/>
                <w:color w:val="000000"/>
                <w:spacing w:val="-10"/>
                <w:szCs w:val="21"/>
                <w:lang w:val="en-US" w:eastAsia="zh-CN"/>
              </w:rPr>
              <w:t>1</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eastAsia="zh-CN"/>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19</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19</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19</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 id="V:Rule2" type="connector" idref="#_x0000_s3078"/>
        <o:r id="V:Rule3" type="connector" idref="#_x0000_s308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DB1477"/>
    <w:rsid w:val="390006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2021-04-20T02:39:06Z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6F773B6A702F482EA982879F88FD58D8</vt:lpwstr>
  </property>
</Properties>
</file>