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-843915</wp:posOffset>
            </wp:positionH>
            <wp:positionV relativeFrom="paragraph">
              <wp:posOffset>-970280</wp:posOffset>
            </wp:positionV>
            <wp:extent cx="7399020" cy="10358755"/>
            <wp:effectExtent l="0" t="0" r="5080" b="4445"/>
            <wp:wrapNone/>
            <wp:docPr id="3" name="图片 3" descr="e0f7d779ef81efbbb0592abb2c08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0f7d779ef81efbbb0592abb2c080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9020" cy="1035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0342-2021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上海爱登堡电梯集团股份有限公司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部门:人力资源部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陪同人员:马秀琴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查HA0948“物流检验员”岗位说明书规定知识要求：电器测量检验技术要求，不能提供针对能力要求的培训实施记录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抽查了测量管理体系内审资料，参加内审的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名内审员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未见</w:t>
            </w:r>
            <w:r>
              <w:rPr>
                <w:rFonts w:hint="eastAsia" w:ascii="宋体" w:hAnsi="宋体"/>
                <w:szCs w:val="21"/>
              </w:rPr>
              <w:t>培训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u w:val="single"/>
                <w:lang w:val="zh-CN"/>
              </w:rPr>
              <w:t>GB/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T19022标准6.1.2条款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人力资源部负责策划该项培训并进行举一反三。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hint="eastAsia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89.7pt;margin-top:14.1pt;height:20.6pt;width:173.9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  <w:rPr>
        <w:rFonts w:hint="eastAsia"/>
      </w:rPr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rFonts w:hint="eastAsia"/>
        <w:sz w:val="18"/>
        <w:szCs w:val="18"/>
      </w:rPr>
    </w:pPr>
    <w:r>
      <w:rPr>
        <w:rFonts w:hint="eastAsia"/>
        <w:sz w:val="18"/>
      </w:rPr>
      <w:pict>
        <v:line id="_x0000_s1026" o:spid="_x0000_s1026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0CD"/>
    <w:rsid w:val="007B7304"/>
    <w:rsid w:val="00A71141"/>
    <w:rsid w:val="00B200CD"/>
    <w:rsid w:val="00B75A8A"/>
    <w:rsid w:val="00C02DE1"/>
    <w:rsid w:val="340602F3"/>
    <w:rsid w:val="50126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6C9125-F12B-452C-B694-4CAD71250D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2021-04-21T07:12:07Z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EB20A88B686C46B4AC2547EE70133727</vt:lpwstr>
  </property>
</Properties>
</file>