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3"/>
        <w:gridCol w:w="13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重庆跃达电力设备有限公司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Q：19.09.02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E：19.09.02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O：19.09.02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73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Q：19.09.02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真空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断路器的生产流程：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绝缘拉杆装配——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上绝缘筒灌胶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--内部附件及下绝缘筒安装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主体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装配——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电气配线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主体件及机构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安装——互感器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及复合控制器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电气参数测试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耐压测试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箱外安装封底盖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零部件清理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导电分装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--底座分装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入库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零部件清理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导电分装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--底座分装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入库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固废排放、潜在火，采取管理方案和应急管理方案控制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重大危险源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：火灾、触电、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采取管理方案和应急管理方案控制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《高压交流断路器GB 1984》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《高压交流隔离开关和接地开关》GB 1985-2014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交流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熔断器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第三部份：喷射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熔断器》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/T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15166.3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2008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等标准、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检验项目：外观、电气性能等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91440</wp:posOffset>
            </wp:positionV>
            <wp:extent cx="788035" cy="490855"/>
            <wp:effectExtent l="0" t="0" r="4445" b="1206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114300</wp:posOffset>
            </wp:positionV>
            <wp:extent cx="775335" cy="483235"/>
            <wp:effectExtent l="0" t="0" r="1905" b="444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2021.4.20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2021.4.20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0364BF"/>
    <w:rsid w:val="6D2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2021-04-22T13:36:19Z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1C8D6DC4EA6A4E8880EEE6607747A6C8</vt:lpwstr>
  </property>
</Properties>
</file>