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eastAsiaTheme="minorEastAsia"/>
          <w:b/>
          <w:bCs/>
          <w:color w:val="000000"/>
          <w:sz w:val="36"/>
          <w:szCs w:val="36"/>
        </w:rPr>
      </w:pPr>
      <w:r>
        <w:rPr>
          <w:rFonts w:hint="eastAsia" w:asciiTheme="minorEastAsia" w:hAnsiTheme="minorEastAsia" w:eastAsiaTheme="minorEastAsia"/>
          <w:b/>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过程与活动、</w:t>
            </w:r>
          </w:p>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抽样计划</w:t>
            </w:r>
          </w:p>
        </w:tc>
        <w:tc>
          <w:tcPr>
            <w:tcW w:w="1019" w:type="dxa"/>
            <w:vMerge w:val="restart"/>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涉及</w:t>
            </w:r>
          </w:p>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条款</w:t>
            </w:r>
          </w:p>
        </w:tc>
        <w:tc>
          <w:tcPr>
            <w:tcW w:w="11223" w:type="dxa"/>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受审核部门：</w:t>
            </w:r>
            <w:r>
              <w:rPr>
                <w:rFonts w:hint="eastAsia" w:cs="宋体" w:asciiTheme="minorEastAsia" w:hAnsiTheme="minorEastAsia" w:eastAsiaTheme="minorEastAsia"/>
                <w:bCs/>
                <w:sz w:val="24"/>
                <w:szCs w:val="24"/>
              </w:rPr>
              <w:t>管理层</w:t>
            </w:r>
            <w:r>
              <w:rPr>
                <w:rFonts w:hint="eastAsia" w:cs="宋体" w:asciiTheme="minorEastAsia" w:hAnsiTheme="minorEastAsia" w:eastAsiaTheme="minorEastAsia"/>
                <w:sz w:val="24"/>
                <w:szCs w:val="24"/>
              </w:rPr>
              <w:t xml:space="preserve">    主管领导：禹东强、白晓红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  陪同人员：陈超  </w:t>
            </w:r>
            <w:r>
              <w:rPr>
                <w:rFonts w:cs="宋体" w:asciiTheme="minorEastAsia" w:hAnsiTheme="minorEastAsia" w:eastAsiaTheme="minorEastAsia"/>
                <w:sz w:val="24"/>
                <w:szCs w:val="24"/>
              </w:rPr>
              <w:t xml:space="preserve"> </w:t>
            </w:r>
          </w:p>
        </w:tc>
        <w:tc>
          <w:tcPr>
            <w:tcW w:w="760" w:type="dxa"/>
            <w:vMerge w:val="restart"/>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审核员：汪桂丽                    审核时间：2021.3.24</w:t>
            </w:r>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adjustRightInd w:val="0"/>
              <w:snapToGrid w:val="0"/>
              <w:ind w:right="105" w:rightChars="50"/>
              <w:jc w:val="left"/>
              <w:textAlignment w:val="baseline"/>
              <w:rPr>
                <w:rFonts w:ascii="宋体" w:hAnsi="宋体" w:cs="Arial"/>
                <w:spacing w:val="-6"/>
                <w:szCs w:val="21"/>
              </w:rPr>
            </w:pPr>
            <w:r>
              <w:rPr>
                <w:rFonts w:hint="eastAsia" w:asciiTheme="minorEastAsia" w:hAnsiTheme="minorEastAsia" w:eastAsiaTheme="minorEastAsia"/>
                <w:color w:val="000000"/>
                <w:szCs w:val="21"/>
              </w:rPr>
              <w:t>涉及标准条款：</w:t>
            </w:r>
            <w:r>
              <w:rPr>
                <w:rFonts w:hint="eastAsia" w:ascii="宋体" w:hAnsi="宋体" w:cs="Arial"/>
                <w:spacing w:val="-6"/>
                <w:szCs w:val="21"/>
              </w:rPr>
              <w:t>QEO:4.1理解组织及其环境、4.2理解相关方的需求和期望、4.3 确定管理体系的范围、4.4质量/环境/</w:t>
            </w:r>
            <w:r>
              <w:rPr>
                <w:rFonts w:hint="eastAsia" w:ascii="宋体" w:hAnsi="宋体" w:cs="Arial"/>
                <w:szCs w:val="21"/>
              </w:rPr>
              <w:t>职业健康</w:t>
            </w:r>
            <w:r>
              <w:rPr>
                <w:rFonts w:hint="eastAsia" w:ascii="宋体" w:hAnsi="宋体" w:cs="Arial"/>
                <w:spacing w:val="-6"/>
                <w:szCs w:val="21"/>
              </w:rPr>
              <w:t>安全管理体系及其过程、5.1领导作用和承诺、5.2质量/环境/</w:t>
            </w:r>
            <w:r>
              <w:rPr>
                <w:rFonts w:hint="eastAsia" w:ascii="宋体" w:hAnsi="宋体" w:cs="Arial"/>
                <w:szCs w:val="21"/>
              </w:rPr>
              <w:t>职业健康</w:t>
            </w:r>
            <w:r>
              <w:rPr>
                <w:rFonts w:hint="eastAsia" w:ascii="宋体" w:hAnsi="宋体" w:cs="Arial"/>
                <w:spacing w:val="-6"/>
                <w:szCs w:val="21"/>
              </w:rPr>
              <w:t>安全方针、5.3组织的岗位、职责和权限、6.1应对风险和机遇的措施、6.2质量/环境/</w:t>
            </w:r>
            <w:r>
              <w:rPr>
                <w:rFonts w:hint="eastAsia" w:ascii="宋体" w:hAnsi="宋体" w:cs="Arial"/>
                <w:szCs w:val="21"/>
              </w:rPr>
              <w:t>职业健康</w:t>
            </w:r>
            <w:r>
              <w:rPr>
                <w:rFonts w:hint="eastAsia" w:ascii="宋体" w:hAnsi="宋体" w:cs="Arial"/>
                <w:spacing w:val="-6"/>
                <w:szCs w:val="21"/>
              </w:rPr>
              <w:t>安全目标及其实现的策划、Q</w:t>
            </w:r>
            <w:r>
              <w:rPr>
                <w:rFonts w:ascii="宋体" w:hAnsi="宋体" w:cs="Arial"/>
                <w:spacing w:val="-6"/>
                <w:szCs w:val="21"/>
              </w:rPr>
              <w:t xml:space="preserve"> </w:t>
            </w:r>
            <w:r>
              <w:rPr>
                <w:rFonts w:hint="eastAsia" w:ascii="宋体" w:hAnsi="宋体" w:cs="Arial"/>
                <w:spacing w:val="-6"/>
                <w:szCs w:val="21"/>
              </w:rPr>
              <w:t>6.3变更的策划、7.1.1（EO7.1）资源总则、9.1监视、测量、分析和评价</w:t>
            </w:r>
            <w:r>
              <w:rPr>
                <w:rFonts w:ascii="宋体" w:hAnsi="宋体" w:cs="Arial"/>
                <w:spacing w:val="-6"/>
                <w:szCs w:val="21"/>
              </w:rPr>
              <w:t xml:space="preserve">  </w:t>
            </w:r>
            <w:r>
              <w:rPr>
                <w:rFonts w:hint="eastAsia" w:ascii="宋体" w:hAnsi="宋体" w:cs="Arial"/>
                <w:spacing w:val="-6"/>
                <w:szCs w:val="21"/>
              </w:rPr>
              <w:t>Q9.1.3分析和评价、9.3管理评审、10.1改进、10.3持续改进，</w:t>
            </w:r>
          </w:p>
          <w:p>
            <w:pPr>
              <w:ind w:firstLine="396" w:firstLineChars="200"/>
              <w:jc w:val="left"/>
              <w:rPr>
                <w:rFonts w:ascii="宋体" w:hAnsi="宋体" w:cs="Arial"/>
                <w:spacing w:val="-6"/>
                <w:szCs w:val="21"/>
              </w:rPr>
            </w:pPr>
            <w:r>
              <w:rPr>
                <w:rFonts w:hint="eastAsia" w:ascii="宋体" w:hAnsi="宋体" w:cs="Arial"/>
                <w:spacing w:val="-6"/>
                <w:szCs w:val="21"/>
              </w:rPr>
              <w:t>国家/地方监督抽查情况；顾客满意、相关方投诉及处理情况；一阶段问题验证，</w:t>
            </w:r>
          </w:p>
          <w:p>
            <w:pPr>
              <w:spacing w:line="280" w:lineRule="exact"/>
              <w:rPr>
                <w:rFonts w:cs="Arial" w:asciiTheme="minorEastAsia" w:hAnsiTheme="minorEastAsia" w:eastAsiaTheme="minorEastAsia"/>
                <w:spacing w:val="-6"/>
                <w:szCs w:val="21"/>
              </w:rPr>
            </w:pPr>
            <w:r>
              <w:rPr>
                <w:rFonts w:hint="eastAsia" w:ascii="宋体" w:hAnsi="宋体" w:cs="Arial"/>
                <w:spacing w:val="-6"/>
                <w:szCs w:val="21"/>
              </w:rPr>
              <w:t>验证企业相关资质证明的有效性；</w:t>
            </w:r>
          </w:p>
          <w:p>
            <w:pPr>
              <w:spacing w:line="280" w:lineRule="exact"/>
              <w:rPr>
                <w:rFonts w:cs="宋体" w:asciiTheme="minorEastAsia" w:hAnsiTheme="minorEastAsia" w:eastAsiaTheme="minorEastAsia"/>
                <w:sz w:val="24"/>
                <w:szCs w:val="24"/>
              </w:rPr>
            </w:pPr>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理解组织及其环境</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4.1</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公司高层领导：总经理：禹东强</w:t>
            </w:r>
            <w:r>
              <w:rPr>
                <w:rFonts w:hint="eastAsia" w:cs="宋体" w:asciiTheme="minorEastAsia" w:hAnsiTheme="minorEastAsia" w:eastAsiaTheme="minorEastAsia"/>
                <w:color w:val="FF0000"/>
                <w:szCs w:val="21"/>
              </w:rPr>
              <w:t xml:space="preserve"> </w:t>
            </w:r>
            <w:r>
              <w:rPr>
                <w:rFonts w:hint="eastAsia" w:cs="宋体" w:asciiTheme="minorEastAsia" w:hAnsiTheme="minorEastAsia" w:eastAsiaTheme="minorEastAsia"/>
                <w:szCs w:val="21"/>
              </w:rPr>
              <w:t xml:space="preserve"> 管者代表：白晓红。</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提供营业执照，注册地址与实际相符，时间2021年4月2日，包含认证范围；有民用无人驾驶航空器经营许可证，发证时间2018年8月31日，有效期为长期有效。</w:t>
            </w:r>
          </w:p>
          <w:p>
            <w:pPr>
              <w:ind w:firstLine="420" w:firstLineChars="200"/>
            </w:pPr>
            <w:bookmarkStart w:id="0" w:name="审核范围"/>
            <w:r>
              <w:t>Q：无人机销售及售后服务</w:t>
            </w:r>
          </w:p>
          <w:p>
            <w:pPr>
              <w:ind w:firstLine="420" w:firstLineChars="200"/>
            </w:pPr>
            <w:r>
              <w:t>E：无人机销售及售后服务所涉及场所的相关环境管理活动</w:t>
            </w:r>
          </w:p>
          <w:p>
            <w:pPr>
              <w:spacing w:line="280" w:lineRule="exact"/>
              <w:ind w:firstLine="420" w:firstLineChars="200"/>
              <w:rPr>
                <w:rFonts w:cs="宋体" w:asciiTheme="minorEastAsia" w:hAnsiTheme="minorEastAsia" w:eastAsiaTheme="minorEastAsia"/>
                <w:szCs w:val="21"/>
              </w:rPr>
            </w:pPr>
            <w:r>
              <w:t>O：无人机销售及售后服务所涉及场所的相关职业健康安全管理活动</w:t>
            </w:r>
            <w:bookmarkEnd w:id="0"/>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公司管理体系设置了办公室、供销部、质检部。各部门职责已确定并发布、实施。</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认证主管部门：办公室</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环评：因只从事销售，暂不需要。</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安评：因只从事销售，暂不需要。</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管理者代表：白晓红；安全事务代表：陈超</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总经理确定与公司管理目标和战略方向相关并影响实现管理体系预期结果的各种内部因素（公司价值观、文化、知识、绩效等相关因素）和外部因素（国家、地区和当地的各种法律法规、技术、竞争、文化和社会因素等）。这些因素包括了需要考虑的正面和负面因素或条件。公司办公室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理解相关方的需求和期望</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4.2</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该公司充分理解相关方的需求和期望，建立了管理方针和目标，并分解落实，以满足相关方的要求并争取做到更高的期望值。公司为此确定了：与管理体系有关的相关方，公司特别是关注外部供方和顾客；这些相关方的要求；这些要求和期望中哪些会成为合规义务。公司对这些相关方及其要求的相关信息进行监视和评审，以便于理解和持续满足相关方的需求和期望。</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确定管理体系的范围</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 4.3</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确定管理体系范围时考虑内容：各种内部和外部因素；相关方的要求，包括相关合规义务；组织的活动、产品和产品；其组织单元、职能和物理边界。</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公司管理体系范围：</w:t>
            </w:r>
          </w:p>
          <w:p>
            <w:pPr>
              <w:spacing w:line="28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Q：无人机销售及售后服务</w:t>
            </w:r>
          </w:p>
          <w:p>
            <w:pPr>
              <w:spacing w:line="28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E：无人机销售及售后服务所涉及场所的相关环境管理活动</w:t>
            </w:r>
          </w:p>
          <w:p>
            <w:pPr>
              <w:spacing w:line="28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O：无人机销售及售后服务所涉及场所的相关职业健康安全管理活动；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条款不适用情况：质量管理体系8.3条款不适用，公司依据国家法律法规及行业规范进行常规销售，无需再进行设计开发，删减不影响组织满足法律法规要求和顾客满意的责任和能力，删减适宜。</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外包情况：无外包过程。</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管理体系及其过程</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4.4</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公司确定管理体系及其过程；公司确保按照质量、环境、职业健康安全管理体系标准要求建立、实施、保持和持续改进质量、环境、职业健康安全管理体系，包括所需过程及其相互作用。</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公司按照标准建立了文件化的管理体系，编制了新版的管理手册，程序文件、管理制度、作业指导书，形成了相关文件化信息，为过程运行提供了支持，以证实过程按照策划执行；公司确定质量、环境、职业健康安全管理体系所需的过程及其在整个组织中的应用。</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领导作用与承诺</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5.1</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公司领导主要承诺有：</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1)对管理体系的有效性要承担责任；</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2)建立公司管理体系的方针和目标并确保与公司的环境相适应，与公司战略方向保持一致以及方针在公司内得到沟通理解和有效实施； </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3）确保管理体系要求融入公司的销售、服务各过程。</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4）促进使用过程方法和机遇风险的思维。</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建立合理的公司组织结构,确保管理体系所需资源能被获得；</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建立良好的沟通机制，杜绝因沟通影响管理体系运行有效性；</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7）确保管理体系实现其预期的结果。</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8)</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促使员工积极参与，指导和支持他们为公司管理体系的有效性做出贡献；</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9）推动公司改进和创新；</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10)做好管理岗位的任命，公司内部公开发布任命书，以支持其他管理者在其负责领域证实其领导作用；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对全体员工进行了产品质量以及顾客关注焦点的宣传和培训，制定了管理文件和管理目标并按规定进行了管理评审，该公司的管理体系基本得到了落实。管理层通过制定方针和目标并通过会议、文件、培训等形式，要求员工理解企业的方针目标，以及遵守法律法规的重要性及顾客满意的重要性，并形成制度化，强调企业实施管理体系的重要性。资源提供充分并通过定期进行管理评审发现过程中存在的问题并加以改进，承诺基本有效。定期检查落实的情况，并有具体要求，承诺基本实现，没有违反的情况发生。</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公司管理体系通过内审、管评及实施不符合纠正、改进措施等方法来完善和持续发展公司的管理体系。</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方针</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5.2</w:t>
            </w:r>
          </w:p>
          <w:p>
            <w:pPr>
              <w:snapToGrid w:val="0"/>
              <w:spacing w:line="280" w:lineRule="exact"/>
              <w:rPr>
                <w:rFonts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 w:val="24"/>
                <w:szCs w:val="24"/>
              </w:rPr>
            </w:pPr>
          </w:p>
        </w:tc>
        <w:tc>
          <w:tcPr>
            <w:tcW w:w="11223" w:type="dxa"/>
            <w:vAlign w:val="center"/>
          </w:tcPr>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公司管理方针：</w:t>
            </w:r>
          </w:p>
          <w:p>
            <w:pPr>
              <w:pStyle w:val="3"/>
              <w:spacing w:line="2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顾客至上，质量为先；强化管理，持续改进；</w:t>
            </w:r>
          </w:p>
          <w:p>
            <w:pPr>
              <w:pStyle w:val="3"/>
              <w:spacing w:line="2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环保美观，结构合理，关爱环境，预防污染；</w:t>
            </w:r>
          </w:p>
          <w:p>
            <w:pPr>
              <w:pStyle w:val="3"/>
              <w:spacing w:line="2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关爱生命，关注安全，遵规守法，降低风险。</w:t>
            </w:r>
          </w:p>
          <w:p>
            <w:pPr>
              <w:spacing w:line="2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手册明确内涵，管理层明确；方针能为制定目标提供框架，方针基本符合标准的要求。</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总经理用会议、文件、宣传栏或资料等方法确保管理方针传达给所有为公司工作或代表公司的人员或相关方，并理解得到贯彻。</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每年结合内审、管理评审对方针的适宜性进行了评审。</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QE</w:t>
            </w:r>
            <w:r>
              <w:rPr>
                <w:rFonts w:hint="eastAsia" w:cs="宋体" w:asciiTheme="minorEastAsia" w:hAnsiTheme="minorEastAsia" w:eastAsiaTheme="minorEastAsia"/>
                <w:szCs w:val="21"/>
              </w:rPr>
              <w:t>O</w:t>
            </w:r>
            <w:r>
              <w:rPr>
                <w:rFonts w:cs="宋体" w:asciiTheme="minorEastAsia" w:hAnsiTheme="minorEastAsia" w:eastAsiaTheme="minorEastAsia"/>
                <w:szCs w:val="21"/>
              </w:rPr>
              <w:t xml:space="preserve"> 5.3</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公司组织结构设置，各部门职责、权限和相互关系均无变化。明确各岗位、职责和权限。</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公司建立、实施和保持公司管理体系所需的过程，公司任命张博为管理体系管理者代表，与其交谈明确职责和权限：</w:t>
            </w:r>
          </w:p>
          <w:p>
            <w:pPr>
              <w:pStyle w:val="17"/>
              <w:numPr>
                <w:ilvl w:val="0"/>
                <w:numId w:val="1"/>
              </w:numPr>
              <w:spacing w:line="28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确保本公司管理体系所需的过程得到建立、实施和保持，代表总经理行使职权；</w:t>
            </w:r>
          </w:p>
          <w:p>
            <w:pPr>
              <w:pStyle w:val="17"/>
              <w:numPr>
                <w:ilvl w:val="0"/>
                <w:numId w:val="1"/>
              </w:numPr>
              <w:spacing w:line="28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向最高管理者报告管理体系的运行、管理业绩情况以供评审，并提出管理体系改进方面的建议；</w:t>
            </w:r>
          </w:p>
          <w:p>
            <w:pPr>
              <w:pStyle w:val="17"/>
              <w:numPr>
                <w:ilvl w:val="0"/>
                <w:numId w:val="1"/>
              </w:numPr>
              <w:spacing w:line="28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确保在整个组织内提高满足顾客、相关方要求和适用法律法规要求的意识；</w:t>
            </w:r>
          </w:p>
          <w:p>
            <w:pPr>
              <w:pStyle w:val="17"/>
              <w:numPr>
                <w:ilvl w:val="0"/>
                <w:numId w:val="1"/>
              </w:numPr>
              <w:spacing w:line="28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组织落实公司管理体系的管理评审和内部审核；</w:t>
            </w:r>
          </w:p>
          <w:p>
            <w:pPr>
              <w:pStyle w:val="17"/>
              <w:numPr>
                <w:ilvl w:val="0"/>
                <w:numId w:val="1"/>
              </w:numPr>
              <w:spacing w:line="28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及时处理影响公司管理体系正常运行的有关问题；</w:t>
            </w:r>
          </w:p>
          <w:p>
            <w:pPr>
              <w:pStyle w:val="17"/>
              <w:numPr>
                <w:ilvl w:val="0"/>
                <w:numId w:val="1"/>
              </w:numPr>
              <w:spacing w:line="280" w:lineRule="exact"/>
              <w:ind w:firstLineChars="0"/>
              <w:rPr>
                <w:rFonts w:cs="宋体" w:asciiTheme="minorEastAsia" w:hAnsiTheme="minorEastAsia" w:eastAsiaTheme="minorEastAsia"/>
                <w:sz w:val="24"/>
                <w:szCs w:val="24"/>
              </w:rPr>
            </w:pPr>
            <w:r>
              <w:rPr>
                <w:rFonts w:hint="eastAsia" w:cs="宋体" w:asciiTheme="minorEastAsia" w:hAnsiTheme="minorEastAsia" w:eastAsiaTheme="minorEastAsia"/>
                <w:szCs w:val="21"/>
              </w:rPr>
              <w:t>负责公司管理体系有关事宜的对外联络等。</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应对风险和机遇的措施</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QEO</w:t>
            </w:r>
            <w:r>
              <w:rPr>
                <w:rFonts w:asciiTheme="minorEastAsia" w:hAnsiTheme="minorEastAsia" w:eastAsiaTheme="minorEastAsia"/>
                <w:szCs w:val="21"/>
              </w:rPr>
              <w:t xml:space="preserve"> </w:t>
            </w:r>
            <w:r>
              <w:rPr>
                <w:rFonts w:hint="eastAsia" w:asciiTheme="minorEastAsia" w:hAnsiTheme="minorEastAsia" w:eastAsiaTheme="minorEastAsia"/>
                <w:szCs w:val="21"/>
              </w:rPr>
              <w:t>6.1</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指定办公室负责组织公司风险和机遇识别和控制措施制定，建立并执行《风险和机遇的应对措施控制程序》JZ-QES-CX-23。</w:t>
            </w:r>
          </w:p>
          <w:p>
            <w:pPr>
              <w:pStyle w:val="17"/>
              <w:numPr>
                <w:ilvl w:val="0"/>
                <w:numId w:val="2"/>
              </w:numPr>
              <w:spacing w:line="28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外部因素主要有：社会和文化、政治、法律、监管、金融、技术、经济、自然环境和市场竞争环境；影响公司</w:t>
            </w: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管理目标的主要驱动和趋势；与外部利益相关者的价值观的关系。如国家政策、标准、法律法规及其他要求的变动等</w:t>
            </w:r>
          </w:p>
          <w:p>
            <w:pPr>
              <w:pStyle w:val="17"/>
              <w:numPr>
                <w:ilvl w:val="0"/>
                <w:numId w:val="2"/>
              </w:numPr>
              <w:spacing w:line="28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内部因素包括：组织机构，角色和责任；政策、目标、实现目标的战略；能力、资源和知识（资本、时间、人、</w:t>
            </w: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能力、流程、系统和技术等）；内部利益相关者的价值观与组织文化之间的关系；信息系统、信息流和决策流程；</w:t>
            </w:r>
            <w:r>
              <w:rPr>
                <w:rFonts w:hint="eastAsia" w:asciiTheme="minorEastAsia" w:hAnsiTheme="minorEastAsia" w:eastAsiaTheme="minorEastAsia"/>
                <w:szCs w:val="21"/>
              </w:rPr>
              <w:t>产品销售；产品销售</w:t>
            </w:r>
            <w:r>
              <w:rPr>
                <w:rFonts w:hint="eastAsia" w:cs="宋体" w:asciiTheme="minorEastAsia" w:hAnsiTheme="minorEastAsia" w:eastAsiaTheme="minorEastAsia"/>
                <w:szCs w:val="21"/>
              </w:rPr>
              <w:t>的控制过程。</w:t>
            </w:r>
          </w:p>
          <w:p>
            <w:pPr>
              <w:pStyle w:val="17"/>
              <w:numPr>
                <w:ilvl w:val="0"/>
                <w:numId w:val="2"/>
              </w:numPr>
              <w:spacing w:line="28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在策划管理体系时考虑了风险和机遇以及相应的应对措施，制定了《风险和机遇的应对控制程序》，明确风险</w:t>
            </w: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和机遇事件的识别方法/途径、风险和机遇事件的评估方式、制定主要风险和机遇事件的应对措施的要求、评价这些措施有效性的方法。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提供了“风险和机遇评估分析表”，将需要应对的风险和机遇进行风险分析确定风险级别（一般风险、高风险），在管理体系所确定的过程中，整合制定针对性管理措施（如程序控制等）。</w:t>
            </w:r>
          </w:p>
          <w:p>
            <w:pPr>
              <w:spacing w:line="280" w:lineRule="exact"/>
              <w:ind w:firstLine="480" w:firstLineChars="200"/>
              <w:rPr>
                <w:rFonts w:cs="宋体" w:asciiTheme="minorEastAsia" w:hAnsiTheme="minorEastAsia" w:eastAsiaTheme="minorEastAsia"/>
                <w:sz w:val="24"/>
                <w:szCs w:val="24"/>
              </w:rPr>
            </w:pP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目标及其实现的策划</w:t>
            </w:r>
          </w:p>
          <w:p>
            <w:pPr>
              <w:spacing w:line="280" w:lineRule="exact"/>
              <w:rPr>
                <w:rFonts w:asciiTheme="minorEastAsia" w:hAnsiTheme="minorEastAsia" w:eastAsiaTheme="minorEastAsia"/>
              </w:rPr>
            </w:pP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QEO</w:t>
            </w:r>
            <w:r>
              <w:rPr>
                <w:rFonts w:asciiTheme="minorEastAsia" w:hAnsiTheme="minorEastAsia" w:eastAsiaTheme="minorEastAsia"/>
                <w:szCs w:val="21"/>
              </w:rPr>
              <w:t xml:space="preserve"> </w:t>
            </w:r>
            <w:r>
              <w:rPr>
                <w:rFonts w:hint="eastAsia" w:asciiTheme="minorEastAsia" w:hAnsiTheme="minorEastAsia" w:eastAsiaTheme="minorEastAsia"/>
                <w:szCs w:val="21"/>
              </w:rPr>
              <w:t>6.2</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提供公司管理目标与公司管理方针一致；可测量。并对管理体系所需的相关职能、层次和过程设定管理目标。</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考虑适用的要求；与提供合格产品和服务以及增强顾客满意相关；予以监视；予以沟通；适时更新。</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公司采用目标管理方法层层展开落实，各部门依据公司整体目标制订相应的管理目标实施方案并统计完成情况，根据每年目标达成状况，通过管理审查会议审查评估绩效并制定下一年度的目标。</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提供目标、指标及管理方案：环境4个方案、职业健康4个方案，明确目标、指标、主要技术方案和措施、实施计划、费用、责任部门、责任人及完成期限；</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抽2021年3月14日、2020年11月24日目标指标与管理方案检查表，：通过现场检查，方案分解落实已有效执行。</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由办公室按公司管理目标考核要求统计考核公司管理目标完成情况，提交管理评审会议。</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查年度目标指标分解及汇总 2021年1月-3月均达到目标和指标要求；2021年3月30日汇总管理目标均已完成，</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考核人：陈超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审批:禹东强</w:t>
            </w:r>
          </w:p>
          <w:tbl>
            <w:tblPr>
              <w:tblStyle w:val="1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8"/>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tcPr>
                <w:p>
                  <w:pPr>
                    <w:pStyle w:val="9"/>
                    <w:spacing w:before="60" w:after="60"/>
                    <w:jc w:val="center"/>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管理目标</w:t>
                  </w:r>
                </w:p>
              </w:tc>
              <w:tc>
                <w:tcPr>
                  <w:tcW w:w="3060" w:type="dxa"/>
                </w:tcPr>
                <w:p>
                  <w:pPr>
                    <w:pStyle w:val="9"/>
                    <w:spacing w:before="60" w:after="60"/>
                    <w:jc w:val="center"/>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228" w:type="dxa"/>
                </w:tcPr>
                <w:p>
                  <w:pPr>
                    <w:pStyle w:val="9"/>
                    <w:spacing w:before="60" w:after="60"/>
                    <w:ind w:firstLine="560"/>
                    <w:rPr>
                      <w:rFonts w:cs="宋体" w:asciiTheme="minorEastAsia" w:hAnsiTheme="minorEastAsia" w:eastAsiaTheme="minorEastAsia"/>
                      <w:kern w:val="2"/>
                      <w:sz w:val="21"/>
                      <w:szCs w:val="21"/>
                    </w:rPr>
                  </w:pPr>
                  <w:r>
                    <w:rPr>
                      <w:rFonts w:cs="宋体" w:asciiTheme="minorEastAsia" w:hAnsiTheme="minorEastAsia" w:eastAsiaTheme="minorEastAsia"/>
                      <w:kern w:val="2"/>
                      <w:sz w:val="21"/>
                      <w:szCs w:val="21"/>
                    </w:rPr>
                    <w:t>1</w:t>
                  </w:r>
                  <w:r>
                    <w:rPr>
                      <w:rFonts w:hint="eastAsia" w:cs="宋体" w:asciiTheme="minorEastAsia" w:hAnsiTheme="minorEastAsia" w:eastAsiaTheme="minorEastAsia"/>
                      <w:kern w:val="2"/>
                      <w:sz w:val="21"/>
                      <w:szCs w:val="21"/>
                    </w:rPr>
                    <w:t>．顾客满意度≧</w:t>
                  </w:r>
                  <w:r>
                    <w:rPr>
                      <w:rFonts w:cs="宋体" w:asciiTheme="minorEastAsia" w:hAnsiTheme="minorEastAsia" w:eastAsiaTheme="minorEastAsia"/>
                      <w:kern w:val="2"/>
                      <w:sz w:val="21"/>
                      <w:szCs w:val="21"/>
                    </w:rPr>
                    <w:t>9</w:t>
                  </w:r>
                  <w:r>
                    <w:rPr>
                      <w:rFonts w:hint="eastAsia" w:cs="宋体" w:asciiTheme="minorEastAsia" w:hAnsiTheme="minorEastAsia" w:eastAsiaTheme="minorEastAsia"/>
                      <w:kern w:val="2"/>
                      <w:sz w:val="21"/>
                      <w:szCs w:val="21"/>
                    </w:rPr>
                    <w:t>0分；</w:t>
                  </w:r>
                </w:p>
              </w:tc>
              <w:tc>
                <w:tcPr>
                  <w:tcW w:w="3060" w:type="dxa"/>
                </w:tcPr>
                <w:p>
                  <w:pPr>
                    <w:pStyle w:val="9"/>
                    <w:spacing w:before="60" w:after="60"/>
                    <w:ind w:firstLine="56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228" w:type="dxa"/>
                </w:tcPr>
                <w:p>
                  <w:pPr>
                    <w:pStyle w:val="9"/>
                    <w:spacing w:before="60" w:after="60"/>
                    <w:ind w:firstLine="560"/>
                    <w:rPr>
                      <w:rFonts w:cs="宋体" w:asciiTheme="minorEastAsia" w:hAnsiTheme="minorEastAsia" w:eastAsiaTheme="minorEastAsia"/>
                      <w:kern w:val="2"/>
                      <w:sz w:val="21"/>
                      <w:szCs w:val="21"/>
                    </w:rPr>
                  </w:pPr>
                  <w:r>
                    <w:rPr>
                      <w:rFonts w:cs="宋体" w:asciiTheme="minorEastAsia" w:hAnsiTheme="minorEastAsia" w:eastAsiaTheme="minorEastAsia"/>
                      <w:kern w:val="2"/>
                      <w:sz w:val="21"/>
                      <w:szCs w:val="21"/>
                    </w:rPr>
                    <w:t>2</w:t>
                  </w:r>
                  <w:r>
                    <w:rPr>
                      <w:rFonts w:hint="eastAsia" w:cs="宋体" w:asciiTheme="minorEastAsia" w:hAnsiTheme="minorEastAsia" w:eastAsiaTheme="minorEastAsia"/>
                      <w:kern w:val="2"/>
                      <w:sz w:val="21"/>
                      <w:szCs w:val="21"/>
                    </w:rPr>
                    <w:t xml:space="preserve">．产品交付合格率100%；  </w:t>
                  </w:r>
                </w:p>
              </w:tc>
              <w:tc>
                <w:tcPr>
                  <w:tcW w:w="3060" w:type="dxa"/>
                </w:tcPr>
                <w:p>
                  <w:pPr>
                    <w:pStyle w:val="9"/>
                    <w:spacing w:before="60" w:after="60"/>
                    <w:ind w:firstLine="56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tcPr>
                <w:p>
                  <w:pPr>
                    <w:pStyle w:val="9"/>
                    <w:spacing w:before="60" w:after="60"/>
                    <w:ind w:firstLine="56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3．火灾事故为0；</w:t>
                  </w:r>
                </w:p>
              </w:tc>
              <w:tc>
                <w:tcPr>
                  <w:tcW w:w="3060" w:type="dxa"/>
                </w:tcPr>
                <w:p>
                  <w:pPr>
                    <w:pStyle w:val="9"/>
                    <w:spacing w:before="60" w:after="60"/>
                    <w:ind w:firstLine="56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228" w:type="dxa"/>
                </w:tcPr>
                <w:p>
                  <w:pPr>
                    <w:pStyle w:val="9"/>
                    <w:spacing w:before="60" w:after="60"/>
                    <w:ind w:firstLine="56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4．固体分类回收率</w:t>
                  </w:r>
                  <w:r>
                    <w:rPr>
                      <w:rFonts w:cs="宋体" w:asciiTheme="minorEastAsia" w:hAnsiTheme="minorEastAsia" w:eastAsiaTheme="minorEastAsia"/>
                      <w:kern w:val="2"/>
                      <w:sz w:val="21"/>
                      <w:szCs w:val="21"/>
                    </w:rPr>
                    <w:t>100%</w:t>
                  </w:r>
                </w:p>
              </w:tc>
              <w:tc>
                <w:tcPr>
                  <w:tcW w:w="3060" w:type="dxa"/>
                </w:tcPr>
                <w:p>
                  <w:pPr>
                    <w:pStyle w:val="9"/>
                    <w:spacing w:before="60" w:after="60"/>
                    <w:ind w:firstLine="56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228" w:type="dxa"/>
                </w:tcPr>
                <w:p>
                  <w:pPr>
                    <w:pStyle w:val="9"/>
                    <w:spacing w:before="60" w:after="60"/>
                    <w:ind w:firstLine="56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5．触电事故为0；</w:t>
                  </w:r>
                </w:p>
              </w:tc>
              <w:tc>
                <w:tcPr>
                  <w:tcW w:w="3060" w:type="dxa"/>
                </w:tcPr>
                <w:p>
                  <w:pPr>
                    <w:pStyle w:val="9"/>
                    <w:spacing w:before="60" w:after="60"/>
                    <w:ind w:firstLine="56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28" w:type="dxa"/>
                </w:tcPr>
                <w:p>
                  <w:pPr>
                    <w:pStyle w:val="9"/>
                    <w:spacing w:before="60" w:after="60"/>
                    <w:ind w:firstLine="56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6．交通事故为0；</w:t>
                  </w:r>
                </w:p>
              </w:tc>
              <w:tc>
                <w:tcPr>
                  <w:tcW w:w="3060" w:type="dxa"/>
                </w:tcPr>
                <w:p>
                  <w:pPr>
                    <w:pStyle w:val="9"/>
                    <w:spacing w:before="60" w:after="60"/>
                    <w:ind w:firstLine="56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0</w:t>
                  </w:r>
                </w:p>
              </w:tc>
            </w:tr>
          </w:tbl>
          <w:p>
            <w:pPr>
              <w:spacing w:line="280" w:lineRule="exact"/>
              <w:ind w:firstLine="420" w:firstLineChars="200"/>
              <w:rPr>
                <w:rFonts w:asciiTheme="minorEastAsia" w:hAnsiTheme="minorEastAsia" w:eastAsiaTheme="minorEastAsia"/>
              </w:rPr>
            </w:pPr>
            <w:r>
              <w:rPr>
                <w:rFonts w:hint="eastAsia" w:cs="宋体" w:asciiTheme="minorEastAsia" w:hAnsiTheme="minorEastAsia" w:eastAsiaTheme="minorEastAsia"/>
                <w:szCs w:val="21"/>
              </w:rPr>
              <w:t xml:space="preserve"> </w:t>
            </w:r>
          </w:p>
        </w:tc>
        <w:tc>
          <w:tcPr>
            <w:tcW w:w="760" w:type="dxa"/>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变更的策划</w:t>
            </w:r>
          </w:p>
          <w:p>
            <w:pPr>
              <w:spacing w:line="280" w:lineRule="exact"/>
              <w:rPr>
                <w:rFonts w:asciiTheme="minorEastAsia" w:hAnsiTheme="minorEastAsia" w:eastAsiaTheme="minorEastAsia"/>
              </w:rPr>
            </w:pP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 xml:space="preserve"> </w:t>
            </w:r>
            <w:r>
              <w:rPr>
                <w:rFonts w:hint="eastAsia" w:asciiTheme="minorEastAsia" w:hAnsiTheme="minorEastAsia" w:eastAsiaTheme="minorEastAsia"/>
                <w:szCs w:val="21"/>
              </w:rPr>
              <w:t>6.3</w:t>
            </w:r>
          </w:p>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公司本周期管理体系暂无变更。</w:t>
            </w:r>
          </w:p>
          <w:p>
            <w:pPr>
              <w:spacing w:line="28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负责人明确公司确定需要对管理体系进行变更时，应经策划并系统的实施，考虑变更目的及其潜在后果；管理体系的完整性；资源的可获得性；责任和权限的分配与再分配。</w:t>
            </w:r>
          </w:p>
        </w:tc>
        <w:tc>
          <w:tcPr>
            <w:tcW w:w="760" w:type="dxa"/>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Arial" w:asciiTheme="minorEastAsia" w:hAnsiTheme="minorEastAsia" w:eastAsiaTheme="minorEastAsia"/>
                <w:spacing w:val="-6"/>
                <w:szCs w:val="24"/>
              </w:rPr>
            </w:pPr>
            <w:r>
              <w:rPr>
                <w:rFonts w:hint="eastAsia" w:ascii="宋体" w:hAnsi="宋体" w:cs="Arial"/>
                <w:spacing w:val="-6"/>
                <w:szCs w:val="21"/>
              </w:rPr>
              <w:t>资源总则</w:t>
            </w:r>
          </w:p>
        </w:tc>
        <w:tc>
          <w:tcPr>
            <w:tcW w:w="1019" w:type="dxa"/>
          </w:tcPr>
          <w:p>
            <w:pPr>
              <w:spacing w:line="280" w:lineRule="exact"/>
              <w:ind w:left="198" w:hanging="198" w:hangingChars="100"/>
              <w:rPr>
                <w:rFonts w:ascii="宋体" w:hAnsi="宋体" w:cs="Arial"/>
                <w:spacing w:val="-6"/>
                <w:szCs w:val="21"/>
              </w:rPr>
            </w:pPr>
            <w:r>
              <w:rPr>
                <w:rFonts w:hint="eastAsia" w:ascii="宋体" w:hAnsi="宋体" w:cs="Arial"/>
                <w:spacing w:val="-6"/>
                <w:szCs w:val="21"/>
              </w:rPr>
              <w:t>EO</w:t>
            </w:r>
            <w:r>
              <w:rPr>
                <w:rFonts w:ascii="宋体" w:hAnsi="宋体" w:cs="Arial"/>
                <w:spacing w:val="-6"/>
                <w:szCs w:val="21"/>
              </w:rPr>
              <w:t xml:space="preserve"> </w:t>
            </w:r>
            <w:r>
              <w:rPr>
                <w:rFonts w:hint="eastAsia" w:ascii="宋体" w:hAnsi="宋体" w:cs="Arial"/>
                <w:spacing w:val="-6"/>
                <w:szCs w:val="21"/>
              </w:rPr>
              <w:t xml:space="preserve">7.1 </w:t>
            </w:r>
          </w:p>
          <w:p>
            <w:pPr>
              <w:spacing w:line="280" w:lineRule="exact"/>
              <w:rPr>
                <w:rFonts w:cs="Arial" w:asciiTheme="minorEastAsia" w:hAnsiTheme="minorEastAsia" w:eastAsiaTheme="minorEastAsia"/>
                <w:spacing w:val="-6"/>
                <w:szCs w:val="24"/>
              </w:rPr>
            </w:pPr>
            <w:r>
              <w:rPr>
                <w:rFonts w:hint="eastAsia" w:cs="Arial" w:asciiTheme="minorEastAsia" w:hAnsiTheme="minorEastAsia" w:eastAsiaTheme="minorEastAsia"/>
                <w:spacing w:val="-6"/>
                <w:szCs w:val="24"/>
              </w:rPr>
              <w:t>Q</w:t>
            </w:r>
            <w:r>
              <w:rPr>
                <w:rFonts w:cs="Arial" w:asciiTheme="minorEastAsia" w:hAnsiTheme="minorEastAsia" w:eastAsiaTheme="minorEastAsia"/>
                <w:spacing w:val="-6"/>
                <w:szCs w:val="24"/>
              </w:rPr>
              <w:t xml:space="preserve"> </w:t>
            </w:r>
            <w:r>
              <w:rPr>
                <w:rFonts w:hint="eastAsia" w:cs="Arial" w:asciiTheme="minorEastAsia" w:hAnsiTheme="minorEastAsia" w:eastAsiaTheme="minorEastAsia"/>
                <w:spacing w:val="-6"/>
                <w:szCs w:val="24"/>
              </w:rPr>
              <w:t>7</w:t>
            </w:r>
            <w:r>
              <w:rPr>
                <w:rFonts w:cs="Arial" w:asciiTheme="minorEastAsia" w:hAnsiTheme="minorEastAsia" w:eastAsiaTheme="minorEastAsia"/>
                <w:spacing w:val="-6"/>
                <w:szCs w:val="24"/>
              </w:rPr>
              <w:t>.</w:t>
            </w:r>
            <w:r>
              <w:rPr>
                <w:rFonts w:hint="eastAsia" w:cs="Arial" w:asciiTheme="minorEastAsia" w:hAnsiTheme="minorEastAsia" w:eastAsiaTheme="minorEastAsia"/>
                <w:spacing w:val="-6"/>
                <w:szCs w:val="24"/>
              </w:rPr>
              <w:t>1</w:t>
            </w:r>
            <w:r>
              <w:rPr>
                <w:rFonts w:cs="Arial" w:asciiTheme="minorEastAsia" w:hAnsiTheme="minorEastAsia" w:eastAsiaTheme="minorEastAsia"/>
                <w:spacing w:val="-6"/>
                <w:szCs w:val="24"/>
              </w:rPr>
              <w:t>.</w:t>
            </w:r>
            <w:r>
              <w:rPr>
                <w:rFonts w:hint="eastAsia" w:cs="Arial" w:asciiTheme="minorEastAsia" w:hAnsiTheme="minorEastAsia" w:eastAsiaTheme="minorEastAsia"/>
                <w:spacing w:val="-6"/>
                <w:szCs w:val="24"/>
              </w:rPr>
              <w:t>1</w:t>
            </w:r>
          </w:p>
        </w:tc>
        <w:tc>
          <w:tcPr>
            <w:tcW w:w="11223" w:type="dxa"/>
            <w:vAlign w:val="center"/>
          </w:tcPr>
          <w:p>
            <w:pPr>
              <w:spacing w:line="28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本公司确定并提供为建立、实施、保持和持续改进质量、环境、职业健康安全管理体系所需的资源，考虑本公司现有内部资源的能力和约束；需要从外部供方获得的资源。</w:t>
            </w:r>
          </w:p>
        </w:tc>
        <w:tc>
          <w:tcPr>
            <w:tcW w:w="760" w:type="dxa"/>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ascii="宋体" w:hAnsi="宋体" w:cs="Arial"/>
                <w:spacing w:val="-6"/>
                <w:szCs w:val="21"/>
              </w:rPr>
            </w:pPr>
            <w:r>
              <w:rPr>
                <w:rFonts w:hint="eastAsia" w:ascii="宋体" w:hAnsi="宋体" w:cs="Arial"/>
                <w:spacing w:val="-6"/>
                <w:szCs w:val="21"/>
              </w:rPr>
              <w:t>监视、测量、分析和评价</w:t>
            </w:r>
            <w:r>
              <w:rPr>
                <w:rFonts w:ascii="宋体" w:hAnsi="宋体" w:cs="Arial"/>
                <w:spacing w:val="-6"/>
                <w:szCs w:val="21"/>
              </w:rPr>
              <w:t xml:space="preserve">  </w:t>
            </w:r>
            <w:r>
              <w:rPr>
                <w:rFonts w:hint="eastAsia" w:ascii="宋体" w:hAnsi="宋体" w:cs="Arial"/>
                <w:spacing w:val="-6"/>
                <w:szCs w:val="21"/>
              </w:rPr>
              <w:t>总则</w:t>
            </w:r>
          </w:p>
          <w:p>
            <w:pPr>
              <w:spacing w:line="280" w:lineRule="exact"/>
              <w:rPr>
                <w:rFonts w:hint="eastAsia" w:cs="宋体" w:asciiTheme="minorEastAsia" w:hAnsiTheme="minorEastAsia" w:eastAsiaTheme="minorEastAsia"/>
                <w:szCs w:val="21"/>
              </w:rPr>
            </w:pPr>
            <w:r>
              <w:rPr>
                <w:rFonts w:ascii="宋体" w:hAnsi="宋体" w:cs="Arial"/>
                <w:spacing w:val="-6"/>
                <w:szCs w:val="21"/>
              </w:rPr>
              <w:t xml:space="preserve"> </w:t>
            </w:r>
          </w:p>
        </w:tc>
        <w:tc>
          <w:tcPr>
            <w:tcW w:w="1019" w:type="dxa"/>
          </w:tcPr>
          <w:p>
            <w:pPr>
              <w:spacing w:line="280" w:lineRule="exact"/>
              <w:rPr>
                <w:rFonts w:ascii="宋体" w:hAnsi="宋体" w:cs="Arial"/>
                <w:spacing w:val="-6"/>
                <w:szCs w:val="21"/>
              </w:rPr>
            </w:pPr>
            <w:r>
              <w:rPr>
                <w:rFonts w:hint="eastAsia" w:ascii="宋体" w:hAnsi="宋体" w:cs="Arial"/>
                <w:spacing w:val="-6"/>
                <w:szCs w:val="21"/>
              </w:rPr>
              <w:t>QEO</w:t>
            </w:r>
            <w:r>
              <w:rPr>
                <w:rFonts w:ascii="宋体" w:hAnsi="宋体" w:cs="Arial"/>
                <w:spacing w:val="-6"/>
                <w:szCs w:val="21"/>
              </w:rPr>
              <w:t xml:space="preserve"> </w:t>
            </w:r>
            <w:r>
              <w:rPr>
                <w:rFonts w:hint="eastAsia" w:ascii="宋体" w:hAnsi="宋体" w:cs="Arial"/>
                <w:spacing w:val="-6"/>
                <w:szCs w:val="21"/>
              </w:rPr>
              <w:t>9.1</w:t>
            </w:r>
            <w:r>
              <w:rPr>
                <w:rFonts w:ascii="宋体" w:hAnsi="宋体" w:cs="Arial"/>
                <w:spacing w:val="-6"/>
                <w:szCs w:val="21"/>
              </w:rPr>
              <w:t xml:space="preserve"> </w:t>
            </w:r>
          </w:p>
          <w:p>
            <w:pPr>
              <w:spacing w:line="280" w:lineRule="exact"/>
              <w:ind w:firstLine="198" w:firstLineChars="100"/>
              <w:rPr>
                <w:rFonts w:ascii="宋体" w:hAnsi="宋体" w:cs="Arial"/>
                <w:spacing w:val="-6"/>
                <w:szCs w:val="21"/>
              </w:rPr>
            </w:pPr>
            <w:r>
              <w:rPr>
                <w:rFonts w:hint="eastAsia" w:ascii="宋体" w:hAnsi="宋体" w:cs="Arial"/>
                <w:spacing w:val="-6"/>
                <w:szCs w:val="21"/>
              </w:rPr>
              <w:t>9.1.1</w:t>
            </w:r>
          </w:p>
          <w:p>
            <w:pPr>
              <w:spacing w:line="280" w:lineRule="exact"/>
              <w:rPr>
                <w:rFonts w:hint="eastAsia" w:asciiTheme="minorEastAsia" w:hAnsiTheme="minorEastAsia" w:eastAsiaTheme="minorEastAsia"/>
                <w:szCs w:val="21"/>
              </w:rPr>
            </w:pPr>
            <w:r>
              <w:rPr>
                <w:rFonts w:hint="eastAsia" w:ascii="宋体" w:hAnsi="宋体" w:cs="Arial"/>
                <w:spacing w:val="-6"/>
                <w:szCs w:val="21"/>
              </w:rPr>
              <w:t>Q</w:t>
            </w:r>
            <w:r>
              <w:rPr>
                <w:rFonts w:ascii="宋体" w:hAnsi="宋体" w:cs="Arial"/>
                <w:spacing w:val="-6"/>
                <w:szCs w:val="21"/>
              </w:rPr>
              <w:t xml:space="preserve"> </w:t>
            </w:r>
            <w:r>
              <w:rPr>
                <w:rFonts w:hint="eastAsia" w:ascii="宋体" w:hAnsi="宋体" w:cs="Arial"/>
                <w:spacing w:val="-6"/>
                <w:szCs w:val="21"/>
              </w:rPr>
              <w:t>9.1.3</w:t>
            </w: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公司监视、测量、分析和评价包括：产品销售状况、管理体系运行、顾客满意、供方、资源消耗、劳保消防投入等过程。</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查自公司管理体系运行以来，已经进行搜集信息和数据的活动：管理目标考核、顾客满意度调查、供方的业绩和管理体系运行情况等的简单分析和评价。</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统计技术查到：调查表用于顾客满意度调查；用于供方调查、评价和选择；用于市场调查；并进行数据分析，基本有效。</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通过对管理目标的状态评价产品和服务的符合性良好；对顾客满意度评价为达到目标要求；外部供方按时交付和质量经分析均满足要求，绩效良好。通过内审评审公司管理体系的策划已有效实施；通过管理评审评价公司应对风险和机遇所采取措施有效，管理体系有效、绩效良好，评价出管理体系改进的需求加强风险管控。</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监视、测量、分析和评价情况基本有效。</w:t>
            </w:r>
          </w:p>
          <w:p>
            <w:pPr>
              <w:spacing w:line="280" w:lineRule="exact"/>
              <w:ind w:firstLine="420" w:firstLineChars="200"/>
              <w:rPr>
                <w:rFonts w:hint="eastAsia" w:cs="宋体" w:asciiTheme="minorEastAsia" w:hAnsiTheme="minorEastAsia" w:eastAsiaTheme="minorEastAsia"/>
                <w:szCs w:val="21"/>
              </w:rPr>
            </w:pPr>
          </w:p>
        </w:tc>
        <w:tc>
          <w:tcPr>
            <w:tcW w:w="760" w:type="dxa"/>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2"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管理评审</w:t>
            </w:r>
          </w:p>
          <w:p>
            <w:pPr>
              <w:spacing w:line="280" w:lineRule="exact"/>
              <w:rPr>
                <w:rFonts w:asciiTheme="minorEastAsia" w:hAnsiTheme="minorEastAsia" w:eastAsiaTheme="minorEastAsia"/>
              </w:rPr>
            </w:pP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QEO</w:t>
            </w:r>
            <w:r>
              <w:rPr>
                <w:rFonts w:asciiTheme="minorEastAsia" w:hAnsiTheme="minorEastAsia" w:eastAsiaTheme="minorEastAsia"/>
                <w:szCs w:val="21"/>
              </w:rPr>
              <w:t xml:space="preserve"> </w:t>
            </w:r>
            <w:r>
              <w:rPr>
                <w:rFonts w:hint="eastAsia" w:asciiTheme="minorEastAsia" w:hAnsiTheme="minorEastAsia" w:eastAsiaTheme="minorEastAsia"/>
                <w:szCs w:val="21"/>
              </w:rPr>
              <w:t>9.3</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公司建立并实施《管理评审控制程序》JZ-QES-CX-04，规定管理评审每年进行一次，由总经理决定是否增加管理评审的频次，间隔不超过12个月。</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查阅公司管理评审资料，提供：</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1.管理评审计划</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明确评审目的、评审时间：2021年3月30日进行， 评审方式：会议评审，参加人员包括公司总经理、管理者代表、各部门负责人，计划中明确了评审内容和资料准备要求。</w:t>
            </w:r>
          </w:p>
          <w:p>
            <w:pPr>
              <w:spacing w:line="28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月27日下达评审通知单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2.管理评审会议实施：有签到、会议记录、评审资料，会议记录人：陈超</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按计划的时间实施了管理评审。管理评审输入：管理方针、目标的适宜性和实现情况；管理体系的符合性；内审结果；内外部环境分析及风险应对措施的落实情况；纠正预防措施及持续改进能力；重要环境因素和重大危险源控制及效果；合规性评价；可能影响管理体系的变更；质量环境职业健康安全事故、顾客满意度及改进建议，变更管理要求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3.管理评审报告：评审时间、目的、参加人员、主持人禹东强总经理、评审综述、管理评审结论：</w:t>
            </w:r>
          </w:p>
          <w:p>
            <w:pPr>
              <w:pStyle w:val="4"/>
              <w:spacing w:line="320" w:lineRule="exact"/>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公司的管理方针、管理目标能够适宜目前公司的状况，公司的QEO管理体系基本上是适宜、有效、充分的，能够满足相关方要求，符合法律法规和标准的要求。</w:t>
            </w:r>
          </w:p>
          <w:p>
            <w:pPr>
              <w:tabs>
                <w:tab w:val="center" w:pos="4156"/>
                <w:tab w:val="left" w:pos="5340"/>
              </w:tabs>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改进建议：要进一步强化质量、环保、职业健康安全管理体系标准的培训，全员参与提高企业的管理水平。</w:t>
            </w:r>
          </w:p>
          <w:p>
            <w:pPr>
              <w:tabs>
                <w:tab w:val="center" w:pos="4156"/>
                <w:tab w:val="left" w:pos="5340"/>
              </w:tabs>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纠正、预防措施报告：</w:t>
            </w:r>
          </w:p>
          <w:p>
            <w:pPr>
              <w:spacing w:line="320" w:lineRule="exact"/>
              <w:ind w:right="-334" w:rightChars="-159"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2021年03月31日对员工进行质量、环境、职业健康安全管理体系标准强化培训，效果良好，有培训记录。</w:t>
            </w:r>
          </w:p>
          <w:p>
            <w:pPr>
              <w:spacing w:line="320" w:lineRule="exact"/>
              <w:ind w:right="-334" w:rightChars="-159" w:firstLine="420" w:firstLineChars="200"/>
              <w:rPr>
                <w:rFonts w:hint="eastAsia" w:cs="宋体" w:asciiTheme="minorEastAsia" w:hAnsiTheme="minorEastAsia" w:eastAsiaTheme="minorEastAsia"/>
                <w:szCs w:val="21"/>
              </w:rPr>
            </w:pPr>
            <w:r>
              <w:drawing>
                <wp:anchor distT="0" distB="0" distL="114300" distR="114300" simplePos="0" relativeHeight="251661312" behindDoc="0" locked="0" layoutInCell="1" allowOverlap="1">
                  <wp:simplePos x="0" y="0"/>
                  <wp:positionH relativeFrom="column">
                    <wp:posOffset>775970</wp:posOffset>
                  </wp:positionH>
                  <wp:positionV relativeFrom="paragraph">
                    <wp:posOffset>134620</wp:posOffset>
                  </wp:positionV>
                  <wp:extent cx="3465830" cy="1634490"/>
                  <wp:effectExtent l="0" t="0" r="127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465830" cy="1634490"/>
                          </a:xfrm>
                          <a:prstGeom prst="rect">
                            <a:avLst/>
                          </a:prstGeom>
                        </pic:spPr>
                      </pic:pic>
                    </a:graphicData>
                  </a:graphic>
                </wp:anchor>
              </w:drawing>
            </w:r>
          </w:p>
          <w:p>
            <w:pPr>
              <w:tabs>
                <w:tab w:val="center" w:pos="4156"/>
                <w:tab w:val="left" w:pos="5340"/>
              </w:tabs>
              <w:spacing w:line="320" w:lineRule="exact"/>
              <w:ind w:firstLine="420" w:firstLineChars="200"/>
              <w:rPr>
                <w:rFonts w:asciiTheme="minorEastAsia" w:hAnsiTheme="minorEastAsia" w:eastAsiaTheme="minorEastAsia"/>
                <w:szCs w:val="21"/>
              </w:rPr>
            </w:pPr>
          </w:p>
          <w:p>
            <w:pPr>
              <w:tabs>
                <w:tab w:val="center" w:pos="4156"/>
                <w:tab w:val="left" w:pos="5340"/>
              </w:tabs>
              <w:spacing w:line="320" w:lineRule="exact"/>
              <w:ind w:firstLine="420" w:firstLineChars="200"/>
              <w:rPr>
                <w:rFonts w:asciiTheme="minorEastAsia" w:hAnsiTheme="minorEastAsia" w:eastAsiaTheme="minorEastAsia"/>
                <w:szCs w:val="21"/>
              </w:rPr>
            </w:pPr>
          </w:p>
          <w:p>
            <w:pPr>
              <w:tabs>
                <w:tab w:val="center" w:pos="4156"/>
                <w:tab w:val="left" w:pos="5340"/>
              </w:tabs>
              <w:spacing w:line="320" w:lineRule="exact"/>
              <w:ind w:firstLine="420" w:firstLineChars="200"/>
              <w:rPr>
                <w:rFonts w:asciiTheme="minorEastAsia" w:hAnsiTheme="minorEastAsia" w:eastAsiaTheme="minorEastAsia"/>
                <w:szCs w:val="21"/>
              </w:rPr>
            </w:pPr>
          </w:p>
          <w:p>
            <w:pPr>
              <w:tabs>
                <w:tab w:val="center" w:pos="4156"/>
                <w:tab w:val="left" w:pos="5340"/>
              </w:tabs>
              <w:spacing w:line="320" w:lineRule="exact"/>
              <w:ind w:firstLine="420" w:firstLineChars="200"/>
              <w:rPr>
                <w:rFonts w:asciiTheme="minorEastAsia" w:hAnsiTheme="minorEastAsia" w:eastAsiaTheme="minorEastAsia"/>
                <w:szCs w:val="21"/>
              </w:rPr>
            </w:pPr>
          </w:p>
          <w:p>
            <w:pPr>
              <w:tabs>
                <w:tab w:val="center" w:pos="4156"/>
                <w:tab w:val="left" w:pos="5340"/>
              </w:tabs>
              <w:spacing w:line="320" w:lineRule="exact"/>
              <w:ind w:firstLine="420" w:firstLineChars="200"/>
              <w:rPr>
                <w:rFonts w:asciiTheme="minorEastAsia" w:hAnsiTheme="minorEastAsia" w:eastAsiaTheme="minorEastAsia"/>
                <w:szCs w:val="21"/>
              </w:rPr>
            </w:pPr>
          </w:p>
          <w:p>
            <w:pPr>
              <w:tabs>
                <w:tab w:val="center" w:pos="4156"/>
                <w:tab w:val="left" w:pos="5340"/>
              </w:tabs>
              <w:spacing w:line="320" w:lineRule="exact"/>
              <w:ind w:firstLine="420" w:firstLineChars="200"/>
              <w:rPr>
                <w:rFonts w:asciiTheme="minorEastAsia" w:hAnsiTheme="minorEastAsia" w:eastAsiaTheme="minorEastAsia"/>
                <w:szCs w:val="21"/>
              </w:rPr>
            </w:pPr>
          </w:p>
          <w:p>
            <w:pPr>
              <w:tabs>
                <w:tab w:val="center" w:pos="4156"/>
                <w:tab w:val="left" w:pos="5340"/>
              </w:tabs>
              <w:spacing w:line="320" w:lineRule="exact"/>
              <w:ind w:firstLine="420" w:firstLineChars="200"/>
              <w:rPr>
                <w:rFonts w:asciiTheme="minorEastAsia" w:hAnsiTheme="minorEastAsia" w:eastAsiaTheme="minorEastAsia"/>
                <w:szCs w:val="21"/>
              </w:rPr>
            </w:pPr>
          </w:p>
          <w:p>
            <w:pPr>
              <w:tabs>
                <w:tab w:val="center" w:pos="4156"/>
                <w:tab w:val="left" w:pos="5340"/>
              </w:tabs>
              <w:spacing w:line="320" w:lineRule="exact"/>
              <w:ind w:firstLine="420" w:firstLineChars="200"/>
              <w:rPr>
                <w:rFonts w:asciiTheme="minorEastAsia" w:hAnsiTheme="minorEastAsia" w:eastAsiaTheme="minorEastAsia"/>
                <w:szCs w:val="21"/>
              </w:rPr>
            </w:pPr>
          </w:p>
        </w:tc>
        <w:tc>
          <w:tcPr>
            <w:tcW w:w="760" w:type="dxa"/>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改进总则</w:t>
            </w:r>
          </w:p>
          <w:p>
            <w:pPr>
              <w:spacing w:line="280" w:lineRule="exact"/>
              <w:rPr>
                <w:rFonts w:asciiTheme="minorEastAsia" w:hAnsiTheme="minorEastAsia" w:eastAsiaTheme="minorEastAsia"/>
              </w:rPr>
            </w:pP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QEO 10.1</w:t>
            </w:r>
          </w:p>
          <w:p>
            <w:pPr>
              <w:spacing w:line="280" w:lineRule="exact"/>
              <w:rPr>
                <w:rFonts w:asciiTheme="minorEastAsia" w:hAnsiTheme="minorEastAsia" w:eastAsiaTheme="minorEastAsia"/>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通过管理体系方针、目标、内部审核、管理评审、不合格和纠正措施各项要求落实，确定和选择改进机会，并采取必要措施确保相关改进活动得到有效开展，以满足顾客要求和增强顾客满意，实现环境管理体系预期结果。</w:t>
            </w:r>
          </w:p>
          <w:p>
            <w:pPr>
              <w:spacing w:line="280" w:lineRule="exact"/>
              <w:ind w:firstLine="420" w:firstLineChars="200"/>
              <w:rPr>
                <w:rFonts w:asciiTheme="minorEastAsia" w:hAnsiTheme="minorEastAsia" w:eastAsiaTheme="minorEastAsia"/>
              </w:rPr>
            </w:pPr>
            <w:r>
              <w:rPr>
                <w:rFonts w:hint="eastAsia" w:cs="宋体" w:asciiTheme="minorEastAsia" w:hAnsiTheme="minorEastAsia" w:eastAsiaTheme="minorEastAsia"/>
                <w:szCs w:val="21"/>
              </w:rPr>
              <w:t>包括改进产品和服务，纠正、预防或减少不利影响，改进体系绩效和有效性。</w:t>
            </w:r>
          </w:p>
        </w:tc>
        <w:tc>
          <w:tcPr>
            <w:tcW w:w="760" w:type="dxa"/>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707"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持续改进</w:t>
            </w: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QEO 10.3</w:t>
            </w:r>
          </w:p>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 xml:space="preserve">  公司开展检查和考核工作、自查自纠及外部检查等形式，不断持续改进，提高顾客满意和环保绩效，持续改进管理体系的适宜性、充分性和有效性。详见相关条款审核记录。</w:t>
            </w:r>
          </w:p>
        </w:tc>
        <w:tc>
          <w:tcPr>
            <w:tcW w:w="760" w:type="dxa"/>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资质有效性</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提供营业执照、经营许可在有效期内，包含申请产品范围</w:t>
            </w:r>
          </w:p>
        </w:tc>
        <w:tc>
          <w:tcPr>
            <w:tcW w:w="760" w:type="dxa"/>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事故</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公司管理体系自运行以来，未发生质量、环境、职业健康安全事故</w:t>
            </w:r>
          </w:p>
        </w:tc>
        <w:tc>
          <w:tcPr>
            <w:tcW w:w="760" w:type="dxa"/>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707"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顾客满意、相关方投诉处理</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管理体系运行期间未发生顾客及相关方投诉情况，日常顾客反馈意见或建立已及时处理</w:t>
            </w:r>
          </w:p>
        </w:tc>
        <w:tc>
          <w:tcPr>
            <w:tcW w:w="760" w:type="dxa"/>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上级主管单位监督抽查</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上级主管部门对公司的在质量、环境、职业健康安全监督抽查，没有提出书面问题</w:t>
            </w:r>
          </w:p>
        </w:tc>
        <w:tc>
          <w:tcPr>
            <w:tcW w:w="760" w:type="dxa"/>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遵纪守法</w:t>
            </w:r>
          </w:p>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情况</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目前公司经营过程中没有发生违反相关法律法规及其他要求的情况</w:t>
            </w:r>
          </w:p>
        </w:tc>
        <w:tc>
          <w:tcPr>
            <w:tcW w:w="760" w:type="dxa"/>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7" w:type="dxa"/>
          </w:tcPr>
          <w:p>
            <w:pPr>
              <w:spacing w:line="280" w:lineRule="exact"/>
              <w:rPr>
                <w:rFonts w:asciiTheme="minorEastAsia" w:hAnsiTheme="minorEastAsia" w:eastAsiaTheme="minorEastAsia"/>
              </w:rPr>
            </w:pPr>
            <w:r>
              <w:rPr>
                <w:rFonts w:hint="eastAsia" w:cs="Arial" w:asciiTheme="minorEastAsia" w:hAnsiTheme="minorEastAsia" w:eastAsiaTheme="minorEastAsia"/>
                <w:spacing w:val="-6"/>
                <w:szCs w:val="24"/>
              </w:rPr>
              <w:t>上次审核不符合项的验证</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无</w:t>
            </w:r>
          </w:p>
        </w:tc>
        <w:tc>
          <w:tcPr>
            <w:tcW w:w="760" w:type="dxa"/>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7" w:type="dxa"/>
          </w:tcPr>
          <w:p>
            <w:pPr>
              <w:spacing w:line="280" w:lineRule="exact"/>
              <w:rPr>
                <w:rFonts w:cs="Arial" w:asciiTheme="minorEastAsia" w:hAnsiTheme="minorEastAsia" w:eastAsiaTheme="minorEastAsia"/>
                <w:spacing w:val="-6"/>
                <w:szCs w:val="24"/>
              </w:rPr>
            </w:pPr>
            <w:r>
              <w:rPr>
                <w:rFonts w:hint="eastAsia" w:cs="Arial" w:asciiTheme="minorEastAsia" w:hAnsiTheme="minorEastAsia" w:eastAsiaTheme="minorEastAsia"/>
                <w:spacing w:val="-6"/>
                <w:szCs w:val="24"/>
              </w:rPr>
              <w:t>变更</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无</w:t>
            </w:r>
          </w:p>
        </w:tc>
        <w:tc>
          <w:tcPr>
            <w:tcW w:w="760" w:type="dxa"/>
          </w:tcPr>
          <w:p>
            <w:pPr>
              <w:spacing w:line="320" w:lineRule="exact"/>
              <w:rPr>
                <w:rFonts w:asciiTheme="minorEastAsia" w:hAnsiTheme="minorEastAsia" w:eastAsiaTheme="minorEastAsia"/>
              </w:rPr>
            </w:pPr>
          </w:p>
        </w:tc>
      </w:tr>
    </w:tbl>
    <w:p>
      <w:pPr>
        <w:rPr>
          <w:rFonts w:asciiTheme="minorEastAsia" w:hAnsiTheme="minorEastAsia" w:eastAsiaTheme="minorEastAsia"/>
        </w:rPr>
      </w:pPr>
      <w:r>
        <w:rPr>
          <w:rFonts w:asciiTheme="minorEastAsia" w:hAnsiTheme="minorEastAsia" w:eastAsiaTheme="minorEastAsia"/>
        </w:rPr>
        <w:ptab w:relativeTo="margin" w:alignment="center" w:leader="none"/>
      </w:r>
    </w:p>
    <w:p>
      <w:pPr>
        <w:pStyle w:val="7"/>
        <w:rPr>
          <w:rFonts w:asciiTheme="minorEastAsia" w:hAnsiTheme="minorEastAsia" w:eastAsiaTheme="minorEastAsia"/>
        </w:rPr>
      </w:pPr>
      <w:r>
        <w:rPr>
          <w:rFonts w:hint="eastAsia" w:asciiTheme="minorEastAsia" w:hAnsiTheme="minorEastAsia" w:eastAsiaTheme="minorEastAsia"/>
        </w:rPr>
        <w:t>说明：不符合标注N</w:t>
      </w:r>
    </w:p>
    <w:p>
      <w:pPr>
        <w:pStyle w:val="7"/>
        <w:rPr>
          <w:rFonts w:asciiTheme="minorEastAsia" w:hAnsiTheme="minorEastAsia" w:eastAsiaTheme="minorEastAsia"/>
        </w:rPr>
      </w:pPr>
    </w:p>
    <w:p>
      <w:pPr>
        <w:pStyle w:val="7"/>
        <w:rPr>
          <w:rFonts w:asciiTheme="minorEastAsia" w:hAnsiTheme="minorEastAsia" w:eastAsiaTheme="minorEastAsia"/>
        </w:rPr>
      </w:pPr>
    </w:p>
    <w:p>
      <w:pPr>
        <w:pStyle w:val="7"/>
        <w:rPr>
          <w:rFonts w:asciiTheme="minorEastAsia" w:hAnsiTheme="minorEastAsia" w:eastAsiaTheme="minorEastAsia"/>
        </w:rPr>
      </w:pPr>
    </w:p>
    <w:p>
      <w:pPr>
        <w:pStyle w:val="7"/>
        <w:rPr>
          <w:rFonts w:asciiTheme="minorEastAsia" w:hAnsiTheme="minorEastAsia" w:eastAsiaTheme="minorEastAsia"/>
        </w:rPr>
      </w:pPr>
    </w:p>
    <w:p>
      <w:pPr>
        <w:pStyle w:val="7"/>
        <w:rPr>
          <w:rFonts w:asciiTheme="minorEastAsia" w:hAnsiTheme="minorEastAsia" w:eastAsiaTheme="minorEastAsia"/>
        </w:rPr>
      </w:pPr>
    </w:p>
    <w:p>
      <w:pPr>
        <w:pStyle w:val="7"/>
        <w:rPr>
          <w:rFonts w:asciiTheme="minorEastAsia" w:hAnsiTheme="minorEastAsia" w:eastAsiaTheme="minorEastAsia"/>
        </w:rPr>
      </w:pPr>
    </w:p>
    <w:p>
      <w:pPr>
        <w:pStyle w:val="7"/>
        <w:rPr>
          <w:rFonts w:asciiTheme="minorEastAsia" w:hAnsiTheme="minorEastAsia" w:eastAsiaTheme="minorEastAsia"/>
        </w:rPr>
      </w:pPr>
    </w:p>
    <w:p>
      <w:pPr>
        <w:pStyle w:val="7"/>
        <w:rPr>
          <w:rFonts w:asciiTheme="minorEastAsia" w:hAnsiTheme="minorEastAsia" w:eastAsiaTheme="minorEastAsia"/>
        </w:rPr>
      </w:pPr>
    </w:p>
    <w:p>
      <w:pPr>
        <w:pStyle w:val="7"/>
        <w:rPr>
          <w:rFonts w:asciiTheme="minorEastAsia" w:hAnsiTheme="minorEastAsia" w:eastAsiaTheme="minorEastAsia"/>
        </w:rPr>
      </w:pPr>
    </w:p>
    <w:p>
      <w:pPr>
        <w:pStyle w:val="7"/>
        <w:rPr>
          <w:rFonts w:asciiTheme="minorEastAsia" w:hAnsiTheme="minorEastAsia" w:eastAsiaTheme="minor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ISC-B-I-31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ISC-B-I-31 管理体系审核记录表(03版)</w:t>
                    </w:r>
                  </w:p>
                </w:txbxContent>
              </v:textbox>
            </v:shape>
          </w:pict>
        </mc:Fallback>
      </mc:AlternateContent>
    </w:r>
    <w:r>
      <w:rPr>
        <w:rStyle w:val="15"/>
        <w:rFonts w:hint="default"/>
      </w:rPr>
      <w:t xml:space="preserve">        </w:t>
    </w:r>
    <w:r>
      <w:rPr>
        <w:rStyle w:val="15"/>
        <w:rFonts w:hint="default"/>
        <w:w w:val="90"/>
      </w:rPr>
      <w:t>Beijing International Otandard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tabs>
        <w:tab w:val="left" w:pos="10117"/>
      </w:tabs>
      <w:jc w:val="left"/>
      <w:rPr>
        <w:rFonts w:hint="eastAsia" w:eastAsia="宋体"/>
        <w:lang w:eastAsia="zh-CN"/>
      </w:rPr>
    </w:pPr>
    <w:r>
      <w:rPr>
        <w:rFonts w:hint="eastAsia"/>
        <w:lang w:eastAsia="zh-CN"/>
      </w:rPr>
      <w:tab/>
      <w:t/>
    </w:r>
    <w:r>
      <w:rPr>
        <w:rFonts w:hint="eastAsia"/>
        <w:lang w:eastAsia="zh-CN"/>
      </w:rPr>
      <w:tab/>
    </w: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41BBB"/>
    <w:multiLevelType w:val="multilevel"/>
    <w:tmpl w:val="2D141BBB"/>
    <w:lvl w:ilvl="0" w:tentative="0">
      <w:start w:val="1"/>
      <w:numFmt w:val="decimal"/>
      <w:lvlText w:val="%1)"/>
      <w:lvlJc w:val="left"/>
      <w:pPr>
        <w:ind w:left="840" w:hanging="420"/>
      </w:pPr>
      <w:rPr>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D9E098D"/>
    <w:multiLevelType w:val="multilevel"/>
    <w:tmpl w:val="6D9E098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2747"/>
    <w:rsid w:val="000237F6"/>
    <w:rsid w:val="000242D4"/>
    <w:rsid w:val="00024F5B"/>
    <w:rsid w:val="00027F84"/>
    <w:rsid w:val="0003373A"/>
    <w:rsid w:val="00046911"/>
    <w:rsid w:val="00046C5E"/>
    <w:rsid w:val="00051DBB"/>
    <w:rsid w:val="000545F3"/>
    <w:rsid w:val="00063487"/>
    <w:rsid w:val="00066794"/>
    <w:rsid w:val="00075039"/>
    <w:rsid w:val="000753A8"/>
    <w:rsid w:val="00077C91"/>
    <w:rsid w:val="000851A3"/>
    <w:rsid w:val="00096B85"/>
    <w:rsid w:val="00097899"/>
    <w:rsid w:val="000B731C"/>
    <w:rsid w:val="000B7933"/>
    <w:rsid w:val="000C2C4B"/>
    <w:rsid w:val="000D19F5"/>
    <w:rsid w:val="000D3FA8"/>
    <w:rsid w:val="000D6EC5"/>
    <w:rsid w:val="00103E45"/>
    <w:rsid w:val="001127A2"/>
    <w:rsid w:val="001359C9"/>
    <w:rsid w:val="00140386"/>
    <w:rsid w:val="00142420"/>
    <w:rsid w:val="00142E83"/>
    <w:rsid w:val="00156CD9"/>
    <w:rsid w:val="0015730C"/>
    <w:rsid w:val="00164D22"/>
    <w:rsid w:val="00170A8A"/>
    <w:rsid w:val="0017683D"/>
    <w:rsid w:val="00183DC1"/>
    <w:rsid w:val="0019177B"/>
    <w:rsid w:val="001919D5"/>
    <w:rsid w:val="00192F07"/>
    <w:rsid w:val="001A2D7F"/>
    <w:rsid w:val="001A7935"/>
    <w:rsid w:val="001B78C4"/>
    <w:rsid w:val="001D660E"/>
    <w:rsid w:val="001E4832"/>
    <w:rsid w:val="001F346F"/>
    <w:rsid w:val="00203613"/>
    <w:rsid w:val="00231B66"/>
    <w:rsid w:val="00252D43"/>
    <w:rsid w:val="00264460"/>
    <w:rsid w:val="00285D7E"/>
    <w:rsid w:val="002924F0"/>
    <w:rsid w:val="00292B15"/>
    <w:rsid w:val="002948F0"/>
    <w:rsid w:val="002A6777"/>
    <w:rsid w:val="002B435B"/>
    <w:rsid w:val="002B6C2A"/>
    <w:rsid w:val="002B7B83"/>
    <w:rsid w:val="002C11C8"/>
    <w:rsid w:val="002D4685"/>
    <w:rsid w:val="002E6CA1"/>
    <w:rsid w:val="002E7040"/>
    <w:rsid w:val="002E76FB"/>
    <w:rsid w:val="00306E61"/>
    <w:rsid w:val="00314580"/>
    <w:rsid w:val="00334A10"/>
    <w:rsid w:val="00334C0C"/>
    <w:rsid w:val="00337922"/>
    <w:rsid w:val="00340867"/>
    <w:rsid w:val="0037127B"/>
    <w:rsid w:val="00380837"/>
    <w:rsid w:val="003817EB"/>
    <w:rsid w:val="00385E5E"/>
    <w:rsid w:val="003A198A"/>
    <w:rsid w:val="003A7FBC"/>
    <w:rsid w:val="003C0A70"/>
    <w:rsid w:val="003C6BAD"/>
    <w:rsid w:val="003D2C37"/>
    <w:rsid w:val="003E5236"/>
    <w:rsid w:val="00403E03"/>
    <w:rsid w:val="00410914"/>
    <w:rsid w:val="004336AB"/>
    <w:rsid w:val="00435BD2"/>
    <w:rsid w:val="0043778E"/>
    <w:rsid w:val="004448A8"/>
    <w:rsid w:val="004757A1"/>
    <w:rsid w:val="004B095E"/>
    <w:rsid w:val="004B20B0"/>
    <w:rsid w:val="004C3DBA"/>
    <w:rsid w:val="004C5CE9"/>
    <w:rsid w:val="004D05B0"/>
    <w:rsid w:val="004D3389"/>
    <w:rsid w:val="004D532C"/>
    <w:rsid w:val="004F4C01"/>
    <w:rsid w:val="004F7428"/>
    <w:rsid w:val="00502083"/>
    <w:rsid w:val="00506C94"/>
    <w:rsid w:val="0051799B"/>
    <w:rsid w:val="005211D0"/>
    <w:rsid w:val="00527E26"/>
    <w:rsid w:val="00536930"/>
    <w:rsid w:val="00540918"/>
    <w:rsid w:val="00542737"/>
    <w:rsid w:val="005545AC"/>
    <w:rsid w:val="00564E53"/>
    <w:rsid w:val="00567E81"/>
    <w:rsid w:val="00582990"/>
    <w:rsid w:val="00582F4D"/>
    <w:rsid w:val="00583DB5"/>
    <w:rsid w:val="005903A3"/>
    <w:rsid w:val="00595E10"/>
    <w:rsid w:val="00597C8D"/>
    <w:rsid w:val="005A34BB"/>
    <w:rsid w:val="005B3251"/>
    <w:rsid w:val="005D488A"/>
    <w:rsid w:val="005E39EA"/>
    <w:rsid w:val="005E486D"/>
    <w:rsid w:val="005E4BB2"/>
    <w:rsid w:val="00633C40"/>
    <w:rsid w:val="00636CCC"/>
    <w:rsid w:val="00642669"/>
    <w:rsid w:val="00644FE2"/>
    <w:rsid w:val="00645136"/>
    <w:rsid w:val="00653D06"/>
    <w:rsid w:val="00656362"/>
    <w:rsid w:val="0067640C"/>
    <w:rsid w:val="00680F5C"/>
    <w:rsid w:val="0069467C"/>
    <w:rsid w:val="006A3A16"/>
    <w:rsid w:val="006B02A5"/>
    <w:rsid w:val="006B6877"/>
    <w:rsid w:val="006C431B"/>
    <w:rsid w:val="006C7B47"/>
    <w:rsid w:val="006D7BAD"/>
    <w:rsid w:val="006E1DF1"/>
    <w:rsid w:val="006E2FE5"/>
    <w:rsid w:val="006E63E5"/>
    <w:rsid w:val="006E678B"/>
    <w:rsid w:val="00705795"/>
    <w:rsid w:val="00706933"/>
    <w:rsid w:val="00712ED4"/>
    <w:rsid w:val="00713ECA"/>
    <w:rsid w:val="0073317D"/>
    <w:rsid w:val="0073498A"/>
    <w:rsid w:val="0073640D"/>
    <w:rsid w:val="00751E25"/>
    <w:rsid w:val="007552F3"/>
    <w:rsid w:val="00770AC4"/>
    <w:rsid w:val="007757F3"/>
    <w:rsid w:val="007C31E3"/>
    <w:rsid w:val="007D1134"/>
    <w:rsid w:val="007D7047"/>
    <w:rsid w:val="007E4C55"/>
    <w:rsid w:val="007E6AEB"/>
    <w:rsid w:val="00803C8E"/>
    <w:rsid w:val="00841892"/>
    <w:rsid w:val="0084257F"/>
    <w:rsid w:val="008522BF"/>
    <w:rsid w:val="00854914"/>
    <w:rsid w:val="00862ED1"/>
    <w:rsid w:val="0088562A"/>
    <w:rsid w:val="00885A7A"/>
    <w:rsid w:val="008973EE"/>
    <w:rsid w:val="008A54FD"/>
    <w:rsid w:val="008A7493"/>
    <w:rsid w:val="008A7789"/>
    <w:rsid w:val="008B367B"/>
    <w:rsid w:val="008D175F"/>
    <w:rsid w:val="008E54C3"/>
    <w:rsid w:val="008F640C"/>
    <w:rsid w:val="009068A5"/>
    <w:rsid w:val="00941C88"/>
    <w:rsid w:val="00967DEB"/>
    <w:rsid w:val="00971600"/>
    <w:rsid w:val="00981521"/>
    <w:rsid w:val="00990AF0"/>
    <w:rsid w:val="009973B4"/>
    <w:rsid w:val="009A457A"/>
    <w:rsid w:val="009C28C1"/>
    <w:rsid w:val="009D20CD"/>
    <w:rsid w:val="009D5430"/>
    <w:rsid w:val="009E0E6E"/>
    <w:rsid w:val="009E1A2C"/>
    <w:rsid w:val="009E2EC5"/>
    <w:rsid w:val="009F0EDA"/>
    <w:rsid w:val="009F18AF"/>
    <w:rsid w:val="009F4A90"/>
    <w:rsid w:val="009F7EED"/>
    <w:rsid w:val="00A0339C"/>
    <w:rsid w:val="00A0419F"/>
    <w:rsid w:val="00A1110F"/>
    <w:rsid w:val="00A13CB6"/>
    <w:rsid w:val="00A2734C"/>
    <w:rsid w:val="00A30DDE"/>
    <w:rsid w:val="00A513EC"/>
    <w:rsid w:val="00A54304"/>
    <w:rsid w:val="00A6146F"/>
    <w:rsid w:val="00A84FD3"/>
    <w:rsid w:val="00A94DB3"/>
    <w:rsid w:val="00A978C8"/>
    <w:rsid w:val="00AA543E"/>
    <w:rsid w:val="00AB0334"/>
    <w:rsid w:val="00AB6F50"/>
    <w:rsid w:val="00AF0AAB"/>
    <w:rsid w:val="00B1235B"/>
    <w:rsid w:val="00B16AFA"/>
    <w:rsid w:val="00B174FF"/>
    <w:rsid w:val="00B215FF"/>
    <w:rsid w:val="00B33C9F"/>
    <w:rsid w:val="00B341C5"/>
    <w:rsid w:val="00B61FC2"/>
    <w:rsid w:val="00B90A0E"/>
    <w:rsid w:val="00B96207"/>
    <w:rsid w:val="00BB2AFA"/>
    <w:rsid w:val="00BB6A1B"/>
    <w:rsid w:val="00BE4BA8"/>
    <w:rsid w:val="00BF597E"/>
    <w:rsid w:val="00C064F9"/>
    <w:rsid w:val="00C3115B"/>
    <w:rsid w:val="00C4515F"/>
    <w:rsid w:val="00C453D5"/>
    <w:rsid w:val="00C51A36"/>
    <w:rsid w:val="00C55228"/>
    <w:rsid w:val="00C57636"/>
    <w:rsid w:val="00C67539"/>
    <w:rsid w:val="00C70506"/>
    <w:rsid w:val="00C73A1A"/>
    <w:rsid w:val="00C74DF3"/>
    <w:rsid w:val="00C80D84"/>
    <w:rsid w:val="00C86445"/>
    <w:rsid w:val="00C8764F"/>
    <w:rsid w:val="00C900D1"/>
    <w:rsid w:val="00C926D4"/>
    <w:rsid w:val="00C96ECF"/>
    <w:rsid w:val="00CA17E5"/>
    <w:rsid w:val="00CA6325"/>
    <w:rsid w:val="00CB78F4"/>
    <w:rsid w:val="00CC782B"/>
    <w:rsid w:val="00CD391A"/>
    <w:rsid w:val="00CD4BD0"/>
    <w:rsid w:val="00CE315A"/>
    <w:rsid w:val="00CE6D44"/>
    <w:rsid w:val="00CF02A1"/>
    <w:rsid w:val="00D06F59"/>
    <w:rsid w:val="00D17304"/>
    <w:rsid w:val="00D222CA"/>
    <w:rsid w:val="00D31BC2"/>
    <w:rsid w:val="00D339B3"/>
    <w:rsid w:val="00D3523F"/>
    <w:rsid w:val="00D4304E"/>
    <w:rsid w:val="00D60DBD"/>
    <w:rsid w:val="00D8388C"/>
    <w:rsid w:val="00D91E07"/>
    <w:rsid w:val="00D922F0"/>
    <w:rsid w:val="00D94D50"/>
    <w:rsid w:val="00DA6D75"/>
    <w:rsid w:val="00DC6B31"/>
    <w:rsid w:val="00DD7CF8"/>
    <w:rsid w:val="00DE150E"/>
    <w:rsid w:val="00DE60CF"/>
    <w:rsid w:val="00DF3DE3"/>
    <w:rsid w:val="00E057B5"/>
    <w:rsid w:val="00E11FF1"/>
    <w:rsid w:val="00E1555A"/>
    <w:rsid w:val="00E23D5B"/>
    <w:rsid w:val="00E30EE8"/>
    <w:rsid w:val="00E30F8C"/>
    <w:rsid w:val="00E66F8E"/>
    <w:rsid w:val="00E82C8A"/>
    <w:rsid w:val="00E84CDF"/>
    <w:rsid w:val="00E91B6F"/>
    <w:rsid w:val="00EB0164"/>
    <w:rsid w:val="00ED0F62"/>
    <w:rsid w:val="00F02E8E"/>
    <w:rsid w:val="00F04412"/>
    <w:rsid w:val="00F128EF"/>
    <w:rsid w:val="00F25A3E"/>
    <w:rsid w:val="00F31F44"/>
    <w:rsid w:val="00F41512"/>
    <w:rsid w:val="00F44F05"/>
    <w:rsid w:val="00F74505"/>
    <w:rsid w:val="00F8212E"/>
    <w:rsid w:val="00F836F3"/>
    <w:rsid w:val="00F8527E"/>
    <w:rsid w:val="00F95B49"/>
    <w:rsid w:val="00FA2C55"/>
    <w:rsid w:val="00FA4B73"/>
    <w:rsid w:val="00FA6F4E"/>
    <w:rsid w:val="00FB27A9"/>
    <w:rsid w:val="00FB2E5A"/>
    <w:rsid w:val="00FC0FE8"/>
    <w:rsid w:val="00FC12B9"/>
    <w:rsid w:val="00FC3688"/>
    <w:rsid w:val="00FE6214"/>
    <w:rsid w:val="00FF04EE"/>
    <w:rsid w:val="00FF231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A4513CF"/>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semiHidden/>
    <w:unhideWhenUsed/>
    <w:uiPriority w:val="99"/>
    <w:pPr>
      <w:spacing w:after="120"/>
    </w:pPr>
  </w:style>
  <w:style w:type="paragraph" w:styleId="4">
    <w:name w:val="Body Text Indent"/>
    <w:basedOn w:val="1"/>
    <w:qFormat/>
    <w:uiPriority w:val="0"/>
    <w:pPr>
      <w:ind w:firstLine="480" w:firstLineChars="200"/>
    </w:pPr>
    <w:rPr>
      <w:sz w:val="24"/>
    </w:rPr>
  </w:style>
  <w:style w:type="paragraph" w:styleId="5">
    <w:name w:val="Plain Text"/>
    <w:basedOn w:val="1"/>
    <w:unhideWhenUsed/>
    <w:qFormat/>
    <w:uiPriority w:val="0"/>
    <w:rPr>
      <w:rFonts w:ascii="宋体" w:hAnsi="Courier New"/>
    </w:rPr>
  </w:style>
  <w:style w:type="paragraph" w:styleId="6">
    <w:name w:val="Balloon Text"/>
    <w:basedOn w:val="1"/>
    <w:link w:val="14"/>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ind w:firstLine="420" w:firstLineChars="200"/>
    </w:pPr>
    <w:rPr>
      <w:rFonts w:ascii="Calibri" w:hAnsi="Calibri"/>
      <w:szCs w:val="22"/>
    </w:rPr>
  </w:style>
  <w:style w:type="paragraph" w:styleId="17">
    <w:name w:val="List Paragraph"/>
    <w:basedOn w:val="1"/>
    <w:qFormat/>
    <w:uiPriority w:val="99"/>
    <w:pPr>
      <w:ind w:firstLine="420" w:firstLineChars="200"/>
    </w:pPr>
  </w:style>
  <w:style w:type="character" w:customStyle="1" w:styleId="18">
    <w:name w:val="正文文本 Char"/>
    <w:basedOn w:val="11"/>
    <w:link w:val="3"/>
    <w:semiHidden/>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821</Words>
  <Characters>4682</Characters>
  <Lines>39</Lines>
  <Paragraphs>10</Paragraphs>
  <TotalTime>609</TotalTime>
  <ScaleCrop>false</ScaleCrop>
  <LinksUpToDate>false</LinksUpToDate>
  <CharactersWithSpaces>5493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李蒙生</cp:lastModifiedBy>
  <dcterms:modified xsi:type="dcterms:W3CDTF">2021-04-26T02:52:12Z</dcterms:modified>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8595148B22D74E5CAD32E7322F49E72B</vt:lpwstr>
  </property>
</Properties>
</file>