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11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3" w:type="dxa"/>
            <w:vMerge w:val="restart"/>
            <w:vAlign w:val="center"/>
          </w:tcPr>
          <w:p>
            <w:pPr>
              <w:spacing w:before="12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276"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114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办公室</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 xml:space="preserve">   主管领导：陈超    陪同人员：</w:t>
            </w:r>
            <w:r>
              <w:rPr>
                <w:rFonts w:hint="eastAsia" w:cs="Arial" w:asciiTheme="minorEastAsia" w:hAnsiTheme="minorEastAsia" w:eastAsiaTheme="minorEastAsia"/>
                <w:sz w:val="24"/>
                <w:szCs w:val="24"/>
              </w:rPr>
              <w:t>白晓红</w:t>
            </w:r>
          </w:p>
        </w:tc>
        <w:tc>
          <w:tcPr>
            <w:tcW w:w="879"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before="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审核员：汪桂丽               审核时间：2021.4.25</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涉及标准条款：QMS: 5.3组织的岗位、职责和权限、7.1.2人员、7.1.6组织知识、7.2能力、7.3意识、7.4信息交流与沟通、7.5.1形成文件的信息总则、7.5.2形成文件的信息的创建和更新、7.5.3形成文件的信息的控制、9.2 内部审核、10.2不合格和纠正措施；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EO: 5.3组织的岗位、职责和权限、7.2能力、7.3意识、7.4信息交流与沟通、7.5.1形成文件的信息总则、7.5.2形成文件的信息的创建和更新、7.5.3形成文件的信息的控制、9.2 内部审核、10.2不符合/事件和纠正措施；</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员工的协商与参与；</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主要负责公司体系文件、资料、记录及外来文件的管理；协助管理层贯彻落实公司管理方针和目标指标和管理评审；负责公司人力资源管理；负责制定培训计划并组织培训，建立职工教育档案；组织对本公司的环境因素/危险源进行识别/辨识和评价，确定重要环境因素和重大危险源；负责内、外部相关信息的传递、处理及内部沟通活动；负责制定内部审核计划，组织实施内部审核，并监督检查纠正措施的落实；负责管理体系绩效的监测和测量；负责法律、法规及其他要求收集、更新，合规性评价工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与负责人交流明确职责和权限,与手册中规定一致。</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提供《人力资源控制程序》JZ-QES-CX-05，其内容包括：目的、范围、职责、程序内容、相关文件、相关内容等对人员的认知要求、能力、意识和培训等方面的控制进行了规定。</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办公室根据各部门的需要配备管理体系运行所需的人员，任命内审员均经过相关培训。各部门人员配备基本充分，基本符合要求。</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组织的知识</w:t>
            </w: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7.1.6</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提供《组织知识管理控制程序》JZ-QES-CX-24，公司确定运行过程所需的知识及管理要求；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外部来源包括：外来资料（如顾客反馈的信息、质量标准、技术标准等）、法律法规、市场信息等。对知识的保持采取文件资料的保存和信息系统存储方式，在公司内部通过传递、交流、培训等方式获取。</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为获取更多必要的知识采用工作经验总结、顾客意见的采集，行业领先者的最佳实践调查等。 </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公司提供各岗位职责要求，对各岗位能力规定的要求包括了专业技能、岗位资格、能力、工作经验等。提供任职资格,人员具备各自岗位能力评定条件，最终确认结果：满足岗位能力要求。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抽查岗位能力确认表 </w:t>
            </w:r>
            <w:r>
              <w:rPr>
                <w:rFonts w:cs="宋体" w:asciiTheme="minorEastAsia" w:hAnsiTheme="minorEastAsia" w:eastAsiaTheme="minorEastAsia"/>
                <w:szCs w:val="21"/>
              </w:rPr>
              <w:t xml:space="preserve"> 2020</w:t>
            </w:r>
            <w:r>
              <w:rPr>
                <w:rFonts w:hint="eastAsia" w:cs="宋体" w:asciiTheme="minorEastAsia" w:hAnsiTheme="minorEastAsia" w:eastAsiaTheme="minorEastAsia"/>
                <w:szCs w:val="21"/>
              </w:rPr>
              <w:t>年10月15日 抽办公室主任陈超、销售经理王君忱从业务知识、管理能力、责任意识、考核评价结论为能够胜任岗位。</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年度培训计划，制表：陈超，批准：白晓红，日期：2020年10月15日，查培训计划包括体系标准和手册和程序培训、规章制度、专业知识培训、安全知识培训、应急准备与响应、法律法规和其他要求培训、环境因素、危险源识别方法等。抽查《培训实施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1）2020.10.25日：管理人员培训 培训题目质量环境职业健康管理体系标准，有培训老师记录，通过提问考核，考核结果：100%合格，达到目的、效果良好。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2）2020.11.22日：所有相关人员培训 培训题目环境因素识别、危险源识别方法，培训老师：白晓红，通过提问考核，考核结果：100%合格，达到目的、效果良好。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3）2021.02.26日：全体相关人员培训，培训题目公司规章制度，培训老师：白晓红，记录培训详细内容，通过现场提问考核，考核结果：100%合格，达到目的、效果良好。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特殊工种：无。</w:t>
            </w:r>
          </w:p>
        </w:tc>
        <w:tc>
          <w:tcPr>
            <w:tcW w:w="879" w:type="dxa"/>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环境、职业健康安全方针、相关的质量、环境、职业健康安全目标；员工为本公司管理体系有效性的贡献的意义和途径，包括改进管理绩效的益处；不符合质量、环境和职业健康安全管理体系要求的后果。</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询问办公室人员基本了解自己的工作好坏会影响组织质量、环境、职业健康安全管理体系的有效运行。</w:t>
            </w:r>
            <w:r>
              <w:rPr>
                <w:rFonts w:hint="eastAsia" w:cs="宋体" w:asciiTheme="minorEastAsia" w:hAnsiTheme="minorEastAsia" w:eastAsiaTheme="minorEastAsia"/>
                <w:color w:val="FF0000"/>
                <w:szCs w:val="21"/>
                <w:u w:val="single"/>
                <w:lang w:val="en-US" w:eastAsia="zh-CN"/>
              </w:rPr>
              <w:t>但</w:t>
            </w:r>
            <w:r>
              <w:rPr>
                <w:rFonts w:hint="eastAsia" w:cs="宋体" w:asciiTheme="minorEastAsia" w:hAnsiTheme="minorEastAsia" w:eastAsiaTheme="minorEastAsia"/>
                <w:color w:val="FF0000"/>
                <w:szCs w:val="21"/>
                <w:u w:val="single"/>
              </w:rPr>
              <w:t>未能清楚回答公司方针和质量目标</w:t>
            </w:r>
            <w:r>
              <w:rPr>
                <w:rFonts w:hint="eastAsia" w:cs="宋体" w:asciiTheme="minorEastAsia" w:hAnsiTheme="minorEastAsia" w:eastAsiaTheme="minorEastAsia"/>
                <w:color w:val="FF0000"/>
                <w:szCs w:val="21"/>
                <w:u w:val="single"/>
                <w:lang w:eastAsia="zh-CN"/>
              </w:rPr>
              <w:t>。</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信息交流与沟通</w:t>
            </w: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7.4</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公司建立并执行《信息交流沟通控制程序》JZ-QES-CX-03</w:t>
            </w:r>
            <w:r>
              <w:rPr>
                <w:rFonts w:cs="宋体" w:asciiTheme="minorEastAsia" w:hAnsiTheme="minorEastAsia" w:eastAsiaTheme="minorEastAsia"/>
                <w:szCs w:val="21"/>
              </w:rPr>
              <w:t>，</w:t>
            </w:r>
            <w:r>
              <w:rPr>
                <w:rFonts w:hint="eastAsia" w:asciiTheme="minorEastAsia" w:hAnsiTheme="minorEastAsia" w:eastAsiaTheme="minor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公司建立信息收集、交流和更新渠道，分为内部信息和外部信息；内部信息采用会议、网络或电话、座谈、文件或通知形式，外部采用电话或网络、走访、邮件或传真、交流会等；</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2020</w:t>
            </w:r>
            <w:r>
              <w:rPr>
                <w:rFonts w:hint="eastAsia" w:cs="宋体" w:asciiTheme="minorEastAsia" w:hAnsiTheme="minorEastAsia" w:eastAsiaTheme="minorEastAsia"/>
                <w:szCs w:val="21"/>
              </w:rPr>
              <w:t>年10月15日通过沟通交流收集并建立相关方的需求和期望清单，包括内部和外部信息；并向相方关发放告之书：包括公司质量环境和职业健康安全方针、供应物品质量环保安全要求、进出人员要求、废弃物要求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公司采用例会制，每季度或每周或每月进行交流会议、沟通。</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形成文件信息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总则</w:t>
            </w: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7.5</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7.5.1</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公司质量、环境、职业健康安全管理体系包括：</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手册、程序文件、管理制度、作业文件和外来文件、记录；公司建立文件和记录时考虑本公司的规模、经营现状、合规义务的需要，过程的复杂性以及人员的能力等因素，确定了为确保管理体系有效性所需的支持性文件。</w:t>
            </w:r>
            <w:r>
              <w:rPr>
                <w:rFonts w:cs="宋体" w:asciiTheme="minorEastAsia" w:hAnsiTheme="minorEastAsia" w:eastAsiaTheme="minorEastAsia"/>
                <w:szCs w:val="21"/>
              </w:rPr>
              <w:t xml:space="preserve"> </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创建和更新</w:t>
            </w: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7.5.2</w:t>
            </w: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文件按程序执行更改和作废；负责人明确创建和更新成文信息时，确保文件标识和说明、适宜的格式和媒介、文件经过评审和批准，确保适宜性和充分性。</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成文信息的控制</w:t>
            </w: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7.5.3</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建立并执行《文件控制程序》、《记录控制程序》、产品执行标准清单、外来文件：环境和职业健康法律法规清单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提供受控文件清单、管理记录清单52份</w:t>
            </w:r>
            <w:r>
              <w:rPr>
                <w:rFonts w:cs="宋体" w:asciiTheme="minorEastAsia" w:hAnsiTheme="minorEastAsia" w:eastAsiaTheme="minorEastAsia"/>
                <w:szCs w:val="21"/>
              </w:rPr>
              <w:t>：</w:t>
            </w:r>
            <w:r>
              <w:rPr>
                <w:rFonts w:hint="eastAsia" w:cs="宋体" w:asciiTheme="minorEastAsia" w:hAnsiTheme="minorEastAsia" w:eastAsiaTheme="minorEastAsia"/>
                <w:szCs w:val="21"/>
              </w:rPr>
              <w:t>名称、版本、编号、负责部门及记录保存期限；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查文件发放/回收登记表：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2020.</w:t>
            </w:r>
            <w:r>
              <w:rPr>
                <w:rFonts w:cs="宋体" w:asciiTheme="minorEastAsia" w:hAnsiTheme="minorEastAsia" w:eastAsiaTheme="minorEastAsia"/>
                <w:szCs w:val="21"/>
              </w:rPr>
              <w:t xml:space="preserve">10.15 </w:t>
            </w:r>
            <w:r>
              <w:rPr>
                <w:rFonts w:hint="eastAsia" w:cs="宋体" w:asciiTheme="minorEastAsia" w:hAnsiTheme="minorEastAsia" w:eastAsiaTheme="minorEastAsia"/>
                <w:szCs w:val="21"/>
              </w:rPr>
              <w:t>下发管理手册</w:t>
            </w:r>
            <w:r>
              <w:rPr>
                <w:rFonts w:cs="宋体" w:asciiTheme="minorEastAsia" w:hAnsiTheme="minorEastAsia" w:eastAsiaTheme="minorEastAsia"/>
                <w:szCs w:val="21"/>
              </w:rPr>
              <w:t>、</w:t>
            </w:r>
            <w:r>
              <w:rPr>
                <w:rFonts w:hint="eastAsia" w:cs="宋体" w:asciiTheme="minorEastAsia" w:hAnsiTheme="minorEastAsia" w:eastAsiaTheme="minorEastAsia"/>
                <w:szCs w:val="21"/>
              </w:rPr>
              <w:t>程序文件、管理制度汇，有记录，各相关人员均签字领取；</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现场查看：用档案柜、文件架存放文件记录，分类、编目，便于检索，保管正常。</w:t>
            </w:r>
          </w:p>
          <w:p>
            <w:pPr>
              <w:spacing w:line="280" w:lineRule="exact"/>
              <w:ind w:firstLine="420" w:firstLineChars="200"/>
              <w:rPr>
                <w:rFonts w:cs="宋体" w:asciiTheme="minorEastAsia" w:hAnsiTheme="minorEastAsia" w:eastAsiaTheme="minorEastAsia"/>
                <w:szCs w:val="21"/>
              </w:rPr>
            </w:pP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EO</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8.1</w:t>
            </w: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编制与环境、安全管理体系运行控制有关的文件有《废弃物管理制度》、《节能降耗管理制度》、《消防设施管理制度》、《设备安全操作规程》等。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1、废水管控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无生产废水，生活废水排入园区污水管网统一处理。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2、废气管控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办公及仓储现场基本无废气排放。</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3、噪声管控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办公噪声主要是打印机及复印机运行，噪声较低，采取措施购置噪声小的产品，按时清洁保养。</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4、固废管控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主要为生活垃圾和办公固废，办公室有垃圾篓集中分类倒入垃圾桶，由综合写字楼物业运送至统一地点集中处理。</w:t>
            </w:r>
          </w:p>
          <w:p>
            <w:pPr>
              <w:numPr>
                <w:ilvl w:val="0"/>
                <w:numId w:val="1"/>
              </w:num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能源资源管控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注意节水、节电，人走关闭开关，现场未发现有漏水和浪费电能的现象。</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水电资源能源使用记录：2021年3月用电量230度、总用水量26</w:t>
            </w:r>
            <w:r>
              <w:rPr>
                <w:rFonts w:cs="宋体" w:asciiTheme="minorEastAsia" w:hAnsiTheme="minorEastAsia" w:eastAsiaTheme="minorEastAsia"/>
                <w:szCs w:val="21"/>
              </w:rPr>
              <w:t>m</w:t>
            </w:r>
            <w:r>
              <w:rPr>
                <w:rFonts w:cs="宋体" w:asciiTheme="minorEastAsia" w:hAnsiTheme="minorEastAsia" w:eastAsiaTheme="minorEastAsia"/>
                <w:szCs w:val="21"/>
                <w:vertAlign w:val="superscript"/>
              </w:rPr>
              <w:t>3;</w:t>
            </w:r>
            <w:r>
              <w:rPr>
                <w:rFonts w:cs="宋体" w:asciiTheme="minorEastAsia" w:hAnsiTheme="minorEastAsia" w:eastAsiaTheme="minorEastAsia"/>
                <w:szCs w:val="21"/>
              </w:rPr>
              <w:t>；2020</w:t>
            </w:r>
            <w:r>
              <w:rPr>
                <w:rFonts w:hint="eastAsia" w:cs="宋体" w:asciiTheme="minorEastAsia" w:hAnsiTheme="minorEastAsia" w:eastAsiaTheme="minorEastAsia"/>
                <w:szCs w:val="21"/>
              </w:rPr>
              <w:t>年11月用电量300度，用水量29</w:t>
            </w:r>
            <w:r>
              <w:rPr>
                <w:rFonts w:cs="宋体" w:asciiTheme="minorEastAsia" w:hAnsiTheme="minorEastAsia" w:eastAsiaTheme="minorEastAsia"/>
                <w:szCs w:val="21"/>
              </w:rPr>
              <w:t>m</w:t>
            </w:r>
            <w:r>
              <w:rPr>
                <w:rFonts w:cs="宋体" w:asciiTheme="minorEastAsia" w:hAnsiTheme="minorEastAsia" w:eastAsiaTheme="minorEastAsia"/>
                <w:szCs w:val="21"/>
                <w:vertAlign w:val="superscript"/>
              </w:rPr>
              <w:t>3</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6、潜在火灾管控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办公室所在办公区域公司配有2个灭火器，在有效期内，符合要求。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7、安全防护</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公司给员工发放酒精、消毒液、口罩、手套、毛巾、香皂等劳保用品，有2020年10月20日劳防用品发放记录，记录名称、数量、时间、领用人；</w:t>
            </w:r>
          </w:p>
          <w:p>
            <w:pPr>
              <w:numPr>
                <w:ilvl w:val="0"/>
                <w:numId w:val="2"/>
              </w:num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为长期员工每月交了社保，员工饮用净化水，现场入口配备消毒设施。</w:t>
            </w:r>
          </w:p>
          <w:p>
            <w:pPr>
              <w:numPr>
                <w:ilvl w:val="0"/>
                <w:numId w:val="2"/>
              </w:num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每年组织一次旅游活动、集中拓展活动，过春节、中秋节等发放相应礼品。</w:t>
            </w:r>
          </w:p>
          <w:p>
            <w:pPr>
              <w:numPr>
                <w:ilvl w:val="0"/>
                <w:numId w:val="2"/>
              </w:num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查环境、职业健康安全资金投入统计表：消防设施1000元、劳保用品费用1800元、防疫物资2000元；</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运行控制基本符合要求。</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应急准备和响应</w:t>
            </w: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EO</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8.2</w:t>
            </w: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保持了《应急准备和响应控制程序JZ-QES-CX-15》，查看内容基本符合要求。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策划了应急预案包括火灾、触电等意外伤害等应急预案，明确了紧急处理的措施和设施，基本符合要求。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公司进行了火灾演练和触电演练，有应急组织、联系方式，明确应资源需求；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查有火灾演练时间2020.12.10日、触电演练2020.12.11，地点公司，对演练过程进行了描述，有领导组成员，记录了通讯、抢险、疏散、警戒及参加演练员工等。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尚存在如下问题需要改进：无。</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提供消防演习记录，演练后对应急预案进行了评审，应急预案的制定基本合理不需修订，记录人：陈超。</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目前未发生火灾、人身伤害等事故。</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建立并执行《内部审核控制程序》JZ-QES-CX-18，并能按标准规定对内部审核的策划、实施、人员安排与资质、内部审核的记录、不符合项的分析与验证，以及审核的结论等开展内部审核。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由办公室组织内部审核，一般每年至少进行一次内部审核，抽查内部审核情况：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提供《年度内审方案》、《内部审核实施计划》，其内容已包括了审核目的、范围、准则、审核组，安排，内审日期：2021.3.15日，编制：陈超、批准：禹东强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计划批准时间：2021.3.12日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审核目的：验证质量环境职业健康安全管理体系对标准的符合性、有效性。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审核依据：</w:t>
            </w:r>
            <w:r>
              <w:rPr>
                <w:rFonts w:hint="eastAsia" w:asciiTheme="minorEastAsia" w:hAnsiTheme="minorEastAsia" w:eastAsiaTheme="minorEastAsia" w:cstheme="minorEastAsia"/>
                <w:szCs w:val="21"/>
              </w:rPr>
              <w:t>GB/T19001-2016 IDT ISO9001:2015  GB/T24001-2016 IDT ISO14001:2015  GB/T45001-2020 IDT ISO 45001:2018 标准</w:t>
            </w:r>
            <w:r>
              <w:rPr>
                <w:rFonts w:hint="eastAsia" w:cs="宋体" w:asciiTheme="minorEastAsia" w:hAnsiTheme="minorEastAsia" w:eastAsiaTheme="minorEastAsia"/>
                <w:szCs w:val="21"/>
              </w:rPr>
              <w:t>、管理体系文件、相关方要求、相关法律法规等。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内部审核实施：组长：白晓红 </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 xml:space="preserve">组员：陈超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有任命书，审核按计划进行，有首末次会议签到和会议记录。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提供了《内部审核检查表》，其中包括总经理/管理者代表、办公室、销售部的审核记录，条款与策划一致，记录真实、完整。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本次内审发现1个一般不符合项，不符合标准条款QEO7.2</w:t>
            </w:r>
            <w:r>
              <w:rPr>
                <w:rFonts w:cs="宋体" w:asciiTheme="minorEastAsia" w:hAnsiTheme="minorEastAsia" w:eastAsiaTheme="minorEastAsia"/>
                <w:szCs w:val="21"/>
              </w:rPr>
              <w:t>：</w:t>
            </w:r>
            <w:r>
              <w:rPr>
                <w:rFonts w:hint="eastAsia" w:cs="宋体" w:asciiTheme="minorEastAsia" w:hAnsiTheme="minorEastAsia" w:eastAsiaTheme="minorEastAsia"/>
                <w:szCs w:val="21"/>
              </w:rPr>
              <w:t>未能提供销售部人员能力评价记录表，针对这个不合格公司进行整改，有不合格报告，责任部门已分析了原因并采取了纠正措施，最后内审员进行了验证，纠正措施实施有效。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部审核报告》，对现场审核进行了综述，对质量、环境和职业健康安全管理体系进行了符合性的综合评价，最后结论为：公司的质量、环境、职业健康安全整合型管理体系已按标准要求建立并已正常、有效运行，未发生环境、职业健康安全事故，各项环境安全目标均能够实现；基础管理得到加强，员工参与意识有所提高。本公司整体的体系运行是适宜的，充分和有效的，能够保证产品质量与管理水平。</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通过审核，审核组确信，公司建立的管理体系符合三大标准的要求，我们有能力、有信心不断完善体系持续改进；编制：陈超  批准：禹东强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日期：2021年3月15日</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公司内部审核基本有效。</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413" w:type="dxa"/>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不合格、纠正措施和预防措施</w:t>
            </w:r>
          </w:p>
          <w:p>
            <w:pPr>
              <w:spacing w:line="280" w:lineRule="exact"/>
              <w:ind w:firstLine="420" w:firstLineChars="200"/>
              <w:rPr>
                <w:rFonts w:cs="宋体" w:asciiTheme="minorEastAsia" w:hAnsiTheme="minorEastAsia" w:eastAsiaTheme="minorEastAsia"/>
                <w:szCs w:val="21"/>
              </w:rPr>
            </w:pPr>
          </w:p>
        </w:tc>
        <w:tc>
          <w:tcPr>
            <w:tcW w:w="1276"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10.2</w:t>
            </w:r>
          </w:p>
          <w:p>
            <w:pPr>
              <w:spacing w:line="280" w:lineRule="exact"/>
              <w:ind w:firstLine="420" w:firstLineChars="200"/>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公司内审时发现的1项不符合项进行了原因分析、纠正措施和验证，详见审核9.2条款记录。公司未发生投诉不合格的情况。</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公司对纠正及预防措施的管理基本符合要求。</w:t>
            </w:r>
          </w:p>
        </w:tc>
        <w:tc>
          <w:tcPr>
            <w:tcW w:w="879" w:type="dxa"/>
          </w:tcPr>
          <w:p>
            <w:pPr>
              <w:spacing w:line="360" w:lineRule="auto"/>
              <w:rPr>
                <w:rFonts w:asciiTheme="minorEastAsia" w:hAnsiTheme="minorEastAsia" w:eastAsiaTheme="minorEastAsia"/>
                <w:sz w:val="24"/>
                <w:szCs w:val="24"/>
              </w:rPr>
            </w:pPr>
          </w:p>
        </w:tc>
      </w:tr>
    </w:tbl>
    <w:p>
      <w:pPr>
        <w:pStyle w:val="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rPr>
            </w:pPr>
            <w:r>
              <w:rPr>
                <w:rFonts w:hint="eastAsia" w:asciiTheme="minorEastAsia" w:hAnsiTheme="minorEastAsia" w:eastAsiaTheme="minorEastAsia"/>
                <w:sz w:val="24"/>
                <w:szCs w:val="24"/>
              </w:rPr>
              <w:t>条款</w:t>
            </w:r>
          </w:p>
        </w:tc>
        <w:tc>
          <w:tcPr>
            <w:tcW w:w="107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职业健康安全事务代表</w:t>
            </w:r>
            <w:r>
              <w:rPr>
                <w:rFonts w:hint="eastAsia" w:asciiTheme="minorEastAsia" w:hAnsiTheme="minorEastAsia" w:eastAsiaTheme="minorEastAsia"/>
                <w:sz w:val="24"/>
                <w:szCs w:val="24"/>
              </w:rPr>
              <w:t xml:space="preserve">      代表姓名：陈超</w:t>
            </w:r>
            <w:r>
              <w:rPr>
                <w:rFonts w:hint="eastAsia" w:asciiTheme="minorEastAsia" w:hAnsiTheme="minorEastAsia" w:eastAsiaTheme="minorEastAsia"/>
                <w:sz w:val="24"/>
              </w:rPr>
              <w:t xml:space="preserve">  </w:t>
            </w:r>
            <w:r>
              <w:rPr>
                <w:rFonts w:hint="eastAsia" w:asciiTheme="minorEastAsia" w:hAnsiTheme="minorEastAsia" w:eastAsiaTheme="minorEastAsia"/>
                <w:sz w:val="24"/>
                <w:szCs w:val="24"/>
              </w:rPr>
              <w:t>陪同人员：白晓红</w:t>
            </w:r>
          </w:p>
        </w:tc>
        <w:tc>
          <w:tcPr>
            <w:tcW w:w="87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pacing w:before="120"/>
              <w:rPr>
                <w:rFonts w:asciiTheme="minorEastAsia" w:hAnsiTheme="minorEastAsia" w:eastAsiaTheme="minorEastAsia"/>
              </w:rPr>
            </w:pPr>
            <w:r>
              <w:rPr>
                <w:rFonts w:hint="eastAsia" w:asciiTheme="minorEastAsia" w:hAnsiTheme="minorEastAsia" w:eastAsiaTheme="minorEastAsia"/>
                <w:sz w:val="24"/>
                <w:szCs w:val="24"/>
              </w:rPr>
              <w:t>审核员：汪桂丽                审核时间：2021.4.25</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Cs w:val="21"/>
              </w:rPr>
              <w:t>涉及标准条款：O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  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5.4</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2160"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360" w:lineRule="auto"/>
              <w:rPr>
                <w:rFonts w:cs="宋体" w:asciiTheme="minorEastAsia" w:hAnsiTheme="minorEastAsia" w:eastAsiaTheme="minorEastAsia"/>
                <w:sz w:val="24"/>
                <w:szCs w:val="24"/>
              </w:rPr>
            </w:pPr>
          </w:p>
        </w:tc>
        <w:tc>
          <w:tcPr>
            <w:tcW w:w="10710"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查该公司通过员工选举陈超为公司的职业健康安全事务代表。询问陈超了解为该公司职业健康安全事务代表的职责：</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1）参与公司管理方针与目标的制定，及管理体系的策划。</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2）参加管理评审，就公司管理体系的绩效、管理方针与目标的实施进行评价。</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3）参与讨论、评议公司拟实施的任何影响作业人员职业健康安全的变更决定。</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4）参与重大事故的调查、分析和处理。</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5）接受员工对管理体系的改进意见和建议，并与有关部门进行沟通，协商解决和处理等。</w:t>
            </w:r>
          </w:p>
        </w:tc>
        <w:tc>
          <w:tcPr>
            <w:tcW w:w="879"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Cs w:val="24"/>
              </w:rPr>
              <w:t>协商与参与</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710"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参与了公司职业健康安全管理体系文件等相关职业健康安全活动的策划工作，参加员工交流协商会议；</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查该公司人员比较少，沟通基本无不畅通的状况，管理体系运行至今无员工及其他相关方投诉，目前无改进的建议；公司为长期稳定员工缴纳了社保，参与讨论、评议重要措施制定和决定。</w:t>
            </w:r>
          </w:p>
        </w:tc>
        <w:tc>
          <w:tcPr>
            <w:tcW w:w="879" w:type="dxa"/>
          </w:tcPr>
          <w:p>
            <w:pPr>
              <w:rPr>
                <w:rFonts w:asciiTheme="minorEastAsia" w:hAnsiTheme="minorEastAsia" w:eastAsiaTheme="minorEastAsia"/>
              </w:rPr>
            </w:pPr>
          </w:p>
        </w:tc>
      </w:tr>
    </w:tbl>
    <w:p>
      <w:pPr>
        <w:pStyle w:val="6"/>
        <w:rPr>
          <w:rFonts w:asciiTheme="minorEastAsia" w:hAnsiTheme="minorEastAsia" w:eastAsiaTheme="minorEastAsia"/>
        </w:rPr>
      </w:pPr>
      <w:r>
        <w:rPr>
          <w:rFonts w:hint="eastAsia" w:asciiTheme="minorEastAsia" w:hAnsiTheme="minorEastAsia" w:eastAsiaTheme="minorEastAsia"/>
        </w:rPr>
        <w:t>说明：不符合标注N</w:t>
      </w:r>
    </w:p>
    <w:p>
      <w:pPr>
        <w:pStyle w:val="6"/>
        <w:rPr>
          <w:rFonts w:asciiTheme="minorEastAsia" w:hAnsiTheme="minorEastAsia" w:eastAsiaTheme="minorEastAsia"/>
        </w:rPr>
      </w:pPr>
    </w:p>
    <w:p>
      <w:pPr>
        <w:pStyle w:val="6"/>
        <w:spacing w:line="360" w:lineRule="auto"/>
        <w:rPr>
          <w:rFonts w:asciiTheme="minorEastAsia" w:hAnsiTheme="minorEastAsia" w:eastAsiaTheme="minorEastAsia"/>
          <w:sz w:val="24"/>
          <w:szCs w:val="24"/>
        </w:rPr>
      </w:pPr>
    </w:p>
    <w:p>
      <w:pPr>
        <w:pStyle w:val="6"/>
        <w:spacing w:line="360" w:lineRule="auto"/>
        <w:rPr>
          <w:rFonts w:asciiTheme="minorEastAsia" w:hAnsiTheme="minorEastAsia" w:eastAsiaTheme="minorEastAsia"/>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bookmarkStart w:id="0" w:name="_GoBack"/>
    <w:bookmarkEnd w:id="0"/>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ISC-B-I-31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ISC-B-I-31 管理体系审核记录表(03版)</w:t>
                    </w:r>
                  </w:p>
                </w:txbxContent>
              </v:textbox>
            </v:shape>
          </w:pict>
        </mc:Fallback>
      </mc:AlternateContent>
    </w:r>
    <w:r>
      <w:rPr>
        <w:rStyle w:val="14"/>
        <w:rFonts w:hint="default"/>
      </w:rPr>
      <w:t xml:space="preserve">        </w:t>
    </w:r>
    <w:r>
      <w:rPr>
        <w:rStyle w:val="14"/>
        <w:rFonts w:hint="default"/>
        <w:w w:val="90"/>
      </w:rPr>
      <w:t>Beijing International Otandard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15F09"/>
    <w:multiLevelType w:val="singleLevel"/>
    <w:tmpl w:val="ADC15F09"/>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F02"/>
    <w:rsid w:val="0000657F"/>
    <w:rsid w:val="0001541E"/>
    <w:rsid w:val="000237F6"/>
    <w:rsid w:val="0003373A"/>
    <w:rsid w:val="00046911"/>
    <w:rsid w:val="00052059"/>
    <w:rsid w:val="00065073"/>
    <w:rsid w:val="000831B5"/>
    <w:rsid w:val="000835C9"/>
    <w:rsid w:val="000A043E"/>
    <w:rsid w:val="000B10E8"/>
    <w:rsid w:val="000B2CCB"/>
    <w:rsid w:val="000B4982"/>
    <w:rsid w:val="000C0C7B"/>
    <w:rsid w:val="000C0E98"/>
    <w:rsid w:val="000C18EA"/>
    <w:rsid w:val="000C1EBD"/>
    <w:rsid w:val="000C2C4B"/>
    <w:rsid w:val="000C4C3F"/>
    <w:rsid w:val="000D19F5"/>
    <w:rsid w:val="000D5B98"/>
    <w:rsid w:val="000D72AA"/>
    <w:rsid w:val="000E0245"/>
    <w:rsid w:val="000E2500"/>
    <w:rsid w:val="000F0723"/>
    <w:rsid w:val="000F5AD4"/>
    <w:rsid w:val="000F7C94"/>
    <w:rsid w:val="001003A3"/>
    <w:rsid w:val="00101C25"/>
    <w:rsid w:val="00102D94"/>
    <w:rsid w:val="00110036"/>
    <w:rsid w:val="00121FD3"/>
    <w:rsid w:val="00135ECA"/>
    <w:rsid w:val="00153C47"/>
    <w:rsid w:val="001814A7"/>
    <w:rsid w:val="00185F75"/>
    <w:rsid w:val="00192817"/>
    <w:rsid w:val="00194DCB"/>
    <w:rsid w:val="0019689A"/>
    <w:rsid w:val="001974CD"/>
    <w:rsid w:val="001A2D7F"/>
    <w:rsid w:val="001A7ADF"/>
    <w:rsid w:val="001B5DE0"/>
    <w:rsid w:val="001C32E5"/>
    <w:rsid w:val="001D552A"/>
    <w:rsid w:val="001D660E"/>
    <w:rsid w:val="001D79FC"/>
    <w:rsid w:val="001F00E3"/>
    <w:rsid w:val="001F43B0"/>
    <w:rsid w:val="0020238C"/>
    <w:rsid w:val="00235687"/>
    <w:rsid w:val="0023718B"/>
    <w:rsid w:val="00265FAF"/>
    <w:rsid w:val="00276FFB"/>
    <w:rsid w:val="002800D4"/>
    <w:rsid w:val="00286004"/>
    <w:rsid w:val="00287114"/>
    <w:rsid w:val="002A72F5"/>
    <w:rsid w:val="002B17DE"/>
    <w:rsid w:val="002B3B1E"/>
    <w:rsid w:val="002C3D37"/>
    <w:rsid w:val="002E4951"/>
    <w:rsid w:val="002E60FE"/>
    <w:rsid w:val="00300C8C"/>
    <w:rsid w:val="00315B62"/>
    <w:rsid w:val="00320F2D"/>
    <w:rsid w:val="0033258D"/>
    <w:rsid w:val="00337922"/>
    <w:rsid w:val="00340867"/>
    <w:rsid w:val="00357212"/>
    <w:rsid w:val="00360F79"/>
    <w:rsid w:val="003752D0"/>
    <w:rsid w:val="003769C0"/>
    <w:rsid w:val="00380837"/>
    <w:rsid w:val="003965CF"/>
    <w:rsid w:val="00396DA3"/>
    <w:rsid w:val="00397E8C"/>
    <w:rsid w:val="003A198A"/>
    <w:rsid w:val="003A2BC5"/>
    <w:rsid w:val="003C0A6F"/>
    <w:rsid w:val="003D2FC2"/>
    <w:rsid w:val="003E7A24"/>
    <w:rsid w:val="003F778A"/>
    <w:rsid w:val="00400D58"/>
    <w:rsid w:val="004022EE"/>
    <w:rsid w:val="00407223"/>
    <w:rsid w:val="00410710"/>
    <w:rsid w:val="00410914"/>
    <w:rsid w:val="00416C0C"/>
    <w:rsid w:val="004300B7"/>
    <w:rsid w:val="004763D7"/>
    <w:rsid w:val="0047714F"/>
    <w:rsid w:val="0049480F"/>
    <w:rsid w:val="004A387E"/>
    <w:rsid w:val="004A7CDA"/>
    <w:rsid w:val="004D532C"/>
    <w:rsid w:val="004F7CC5"/>
    <w:rsid w:val="00504F80"/>
    <w:rsid w:val="00506C94"/>
    <w:rsid w:val="00507330"/>
    <w:rsid w:val="005135AE"/>
    <w:rsid w:val="00517EB5"/>
    <w:rsid w:val="0052442E"/>
    <w:rsid w:val="005344AB"/>
    <w:rsid w:val="00536930"/>
    <w:rsid w:val="00552945"/>
    <w:rsid w:val="00564E53"/>
    <w:rsid w:val="00574920"/>
    <w:rsid w:val="00574BBB"/>
    <w:rsid w:val="00574C19"/>
    <w:rsid w:val="00585E31"/>
    <w:rsid w:val="00594C39"/>
    <w:rsid w:val="00595E10"/>
    <w:rsid w:val="0059619A"/>
    <w:rsid w:val="005A500D"/>
    <w:rsid w:val="005A6314"/>
    <w:rsid w:val="005B0005"/>
    <w:rsid w:val="005B2AB5"/>
    <w:rsid w:val="005B52D4"/>
    <w:rsid w:val="005D1B89"/>
    <w:rsid w:val="005E3941"/>
    <w:rsid w:val="005E4B50"/>
    <w:rsid w:val="00601573"/>
    <w:rsid w:val="00604CB8"/>
    <w:rsid w:val="00620A7D"/>
    <w:rsid w:val="00624164"/>
    <w:rsid w:val="0062528B"/>
    <w:rsid w:val="00634DE3"/>
    <w:rsid w:val="00636B07"/>
    <w:rsid w:val="00642669"/>
    <w:rsid w:val="00644FE2"/>
    <w:rsid w:val="0064616B"/>
    <w:rsid w:val="00651C6C"/>
    <w:rsid w:val="00653D1A"/>
    <w:rsid w:val="006540AC"/>
    <w:rsid w:val="006714FE"/>
    <w:rsid w:val="0067640C"/>
    <w:rsid w:val="0068029C"/>
    <w:rsid w:val="006838AF"/>
    <w:rsid w:val="00683C2B"/>
    <w:rsid w:val="006B46F9"/>
    <w:rsid w:val="006B5E21"/>
    <w:rsid w:val="006B5FB8"/>
    <w:rsid w:val="006C77BA"/>
    <w:rsid w:val="006E0C2C"/>
    <w:rsid w:val="006E4387"/>
    <w:rsid w:val="006E5178"/>
    <w:rsid w:val="006E678B"/>
    <w:rsid w:val="00705EF3"/>
    <w:rsid w:val="00706D06"/>
    <w:rsid w:val="0071657D"/>
    <w:rsid w:val="007170F9"/>
    <w:rsid w:val="00731E97"/>
    <w:rsid w:val="0073578F"/>
    <w:rsid w:val="0073792D"/>
    <w:rsid w:val="007416C3"/>
    <w:rsid w:val="00742422"/>
    <w:rsid w:val="00743D45"/>
    <w:rsid w:val="00751BAE"/>
    <w:rsid w:val="00751BE6"/>
    <w:rsid w:val="00754B9D"/>
    <w:rsid w:val="00756C6B"/>
    <w:rsid w:val="00764DA8"/>
    <w:rsid w:val="00771160"/>
    <w:rsid w:val="007757F3"/>
    <w:rsid w:val="0079475F"/>
    <w:rsid w:val="007A5BDE"/>
    <w:rsid w:val="007B0432"/>
    <w:rsid w:val="007B6AF1"/>
    <w:rsid w:val="007C35D3"/>
    <w:rsid w:val="007D7970"/>
    <w:rsid w:val="007D7E51"/>
    <w:rsid w:val="007E6AEB"/>
    <w:rsid w:val="008029CD"/>
    <w:rsid w:val="00803595"/>
    <w:rsid w:val="00803D46"/>
    <w:rsid w:val="00806244"/>
    <w:rsid w:val="008138D2"/>
    <w:rsid w:val="008208E4"/>
    <w:rsid w:val="00820B6D"/>
    <w:rsid w:val="0082128D"/>
    <w:rsid w:val="00821DE1"/>
    <w:rsid w:val="00823C5D"/>
    <w:rsid w:val="008277F2"/>
    <w:rsid w:val="008315A2"/>
    <w:rsid w:val="00835AF0"/>
    <w:rsid w:val="00841394"/>
    <w:rsid w:val="0084257F"/>
    <w:rsid w:val="008444D9"/>
    <w:rsid w:val="00851793"/>
    <w:rsid w:val="00854760"/>
    <w:rsid w:val="00856053"/>
    <w:rsid w:val="0087501D"/>
    <w:rsid w:val="0089459A"/>
    <w:rsid w:val="008973EE"/>
    <w:rsid w:val="008B00BA"/>
    <w:rsid w:val="008B0E3C"/>
    <w:rsid w:val="008C2507"/>
    <w:rsid w:val="008D6617"/>
    <w:rsid w:val="008D665F"/>
    <w:rsid w:val="008D7CDA"/>
    <w:rsid w:val="008E4F9F"/>
    <w:rsid w:val="008E56B9"/>
    <w:rsid w:val="008F0D0D"/>
    <w:rsid w:val="00912013"/>
    <w:rsid w:val="00916303"/>
    <w:rsid w:val="00926E86"/>
    <w:rsid w:val="00930B7D"/>
    <w:rsid w:val="00933515"/>
    <w:rsid w:val="009502E7"/>
    <w:rsid w:val="00952BAF"/>
    <w:rsid w:val="00953AFB"/>
    <w:rsid w:val="00956791"/>
    <w:rsid w:val="0096188B"/>
    <w:rsid w:val="00965FAA"/>
    <w:rsid w:val="0097041F"/>
    <w:rsid w:val="00971600"/>
    <w:rsid w:val="00971C67"/>
    <w:rsid w:val="009773CF"/>
    <w:rsid w:val="00984689"/>
    <w:rsid w:val="00990718"/>
    <w:rsid w:val="00990AF0"/>
    <w:rsid w:val="009973B4"/>
    <w:rsid w:val="009A1262"/>
    <w:rsid w:val="009B0E63"/>
    <w:rsid w:val="009B0E76"/>
    <w:rsid w:val="009B11AE"/>
    <w:rsid w:val="009B3413"/>
    <w:rsid w:val="009C28C1"/>
    <w:rsid w:val="009D51B6"/>
    <w:rsid w:val="009D6233"/>
    <w:rsid w:val="009D6EE3"/>
    <w:rsid w:val="009E2E47"/>
    <w:rsid w:val="009E4A5F"/>
    <w:rsid w:val="009F7EED"/>
    <w:rsid w:val="00A024F7"/>
    <w:rsid w:val="00A12300"/>
    <w:rsid w:val="00A12A2C"/>
    <w:rsid w:val="00A15A24"/>
    <w:rsid w:val="00A222B7"/>
    <w:rsid w:val="00A3230F"/>
    <w:rsid w:val="00A337E1"/>
    <w:rsid w:val="00A34B98"/>
    <w:rsid w:val="00A415D1"/>
    <w:rsid w:val="00A60E8C"/>
    <w:rsid w:val="00A85E4A"/>
    <w:rsid w:val="00A90B9C"/>
    <w:rsid w:val="00A949C6"/>
    <w:rsid w:val="00AA1CB7"/>
    <w:rsid w:val="00AA543E"/>
    <w:rsid w:val="00AA65F7"/>
    <w:rsid w:val="00AB0FE3"/>
    <w:rsid w:val="00AB589E"/>
    <w:rsid w:val="00AC6485"/>
    <w:rsid w:val="00AF0AAB"/>
    <w:rsid w:val="00B00480"/>
    <w:rsid w:val="00B04FE1"/>
    <w:rsid w:val="00B10FE8"/>
    <w:rsid w:val="00B12CEE"/>
    <w:rsid w:val="00B1444D"/>
    <w:rsid w:val="00B1555E"/>
    <w:rsid w:val="00B174FF"/>
    <w:rsid w:val="00B21581"/>
    <w:rsid w:val="00B2213A"/>
    <w:rsid w:val="00B321D5"/>
    <w:rsid w:val="00B32417"/>
    <w:rsid w:val="00B3297E"/>
    <w:rsid w:val="00B412D1"/>
    <w:rsid w:val="00B508C5"/>
    <w:rsid w:val="00B56A39"/>
    <w:rsid w:val="00B63162"/>
    <w:rsid w:val="00B64035"/>
    <w:rsid w:val="00B644E7"/>
    <w:rsid w:val="00B64A13"/>
    <w:rsid w:val="00B805D9"/>
    <w:rsid w:val="00B921BC"/>
    <w:rsid w:val="00B979C9"/>
    <w:rsid w:val="00BA4720"/>
    <w:rsid w:val="00BA59F7"/>
    <w:rsid w:val="00BA69C8"/>
    <w:rsid w:val="00BB3D8D"/>
    <w:rsid w:val="00BB49AC"/>
    <w:rsid w:val="00BD380A"/>
    <w:rsid w:val="00BF597E"/>
    <w:rsid w:val="00C01D84"/>
    <w:rsid w:val="00C02CD2"/>
    <w:rsid w:val="00C13862"/>
    <w:rsid w:val="00C168E9"/>
    <w:rsid w:val="00C16C56"/>
    <w:rsid w:val="00C16D52"/>
    <w:rsid w:val="00C1771E"/>
    <w:rsid w:val="00C323A9"/>
    <w:rsid w:val="00C3543B"/>
    <w:rsid w:val="00C35FEC"/>
    <w:rsid w:val="00C464BE"/>
    <w:rsid w:val="00C51A36"/>
    <w:rsid w:val="00C55228"/>
    <w:rsid w:val="00C62230"/>
    <w:rsid w:val="00C72D93"/>
    <w:rsid w:val="00C73A1A"/>
    <w:rsid w:val="00C7498F"/>
    <w:rsid w:val="00C855ED"/>
    <w:rsid w:val="00C86BCA"/>
    <w:rsid w:val="00C90FF5"/>
    <w:rsid w:val="00C96A87"/>
    <w:rsid w:val="00C96D23"/>
    <w:rsid w:val="00CA3C36"/>
    <w:rsid w:val="00CA6E86"/>
    <w:rsid w:val="00CC597A"/>
    <w:rsid w:val="00CC62C7"/>
    <w:rsid w:val="00CD3750"/>
    <w:rsid w:val="00CD391A"/>
    <w:rsid w:val="00CE315A"/>
    <w:rsid w:val="00CE3D83"/>
    <w:rsid w:val="00CE57A7"/>
    <w:rsid w:val="00D02D4E"/>
    <w:rsid w:val="00D05664"/>
    <w:rsid w:val="00D06F59"/>
    <w:rsid w:val="00D146E0"/>
    <w:rsid w:val="00D15125"/>
    <w:rsid w:val="00D17511"/>
    <w:rsid w:val="00D22C76"/>
    <w:rsid w:val="00D23B9D"/>
    <w:rsid w:val="00D24A3F"/>
    <w:rsid w:val="00D45F16"/>
    <w:rsid w:val="00D54376"/>
    <w:rsid w:val="00D70953"/>
    <w:rsid w:val="00D75283"/>
    <w:rsid w:val="00D76B89"/>
    <w:rsid w:val="00D8388C"/>
    <w:rsid w:val="00D93CCF"/>
    <w:rsid w:val="00DB51CE"/>
    <w:rsid w:val="00DC156E"/>
    <w:rsid w:val="00DC5764"/>
    <w:rsid w:val="00DD14C1"/>
    <w:rsid w:val="00DD7CF8"/>
    <w:rsid w:val="00DE1044"/>
    <w:rsid w:val="00DF3BDC"/>
    <w:rsid w:val="00E073D1"/>
    <w:rsid w:val="00E11A32"/>
    <w:rsid w:val="00E3018A"/>
    <w:rsid w:val="00E35218"/>
    <w:rsid w:val="00E37A00"/>
    <w:rsid w:val="00E43A49"/>
    <w:rsid w:val="00E45CCB"/>
    <w:rsid w:val="00E501D6"/>
    <w:rsid w:val="00E52A8D"/>
    <w:rsid w:val="00E54A34"/>
    <w:rsid w:val="00E620E7"/>
    <w:rsid w:val="00E67AA1"/>
    <w:rsid w:val="00E70802"/>
    <w:rsid w:val="00E85545"/>
    <w:rsid w:val="00E867DC"/>
    <w:rsid w:val="00E87595"/>
    <w:rsid w:val="00EB0164"/>
    <w:rsid w:val="00EC1EA6"/>
    <w:rsid w:val="00EC21F7"/>
    <w:rsid w:val="00EC4327"/>
    <w:rsid w:val="00ED0F62"/>
    <w:rsid w:val="00EE075C"/>
    <w:rsid w:val="00EE3E4E"/>
    <w:rsid w:val="00EF37E8"/>
    <w:rsid w:val="00EF4BC6"/>
    <w:rsid w:val="00EF4CAC"/>
    <w:rsid w:val="00F057E4"/>
    <w:rsid w:val="00F21E66"/>
    <w:rsid w:val="00F25FF3"/>
    <w:rsid w:val="00F26AF3"/>
    <w:rsid w:val="00F40939"/>
    <w:rsid w:val="00F52380"/>
    <w:rsid w:val="00F5720E"/>
    <w:rsid w:val="00F57989"/>
    <w:rsid w:val="00F7195A"/>
    <w:rsid w:val="00F72CD4"/>
    <w:rsid w:val="00F821CD"/>
    <w:rsid w:val="00F83125"/>
    <w:rsid w:val="00F96538"/>
    <w:rsid w:val="00FB1C70"/>
    <w:rsid w:val="00FC1555"/>
    <w:rsid w:val="00FD530C"/>
    <w:rsid w:val="00FD548A"/>
    <w:rsid w:val="00FF73F8"/>
    <w:rsid w:val="03011590"/>
    <w:rsid w:val="0320505F"/>
    <w:rsid w:val="04510B7D"/>
    <w:rsid w:val="062B3929"/>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968623C"/>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793</Words>
  <Characters>4525</Characters>
  <Lines>37</Lines>
  <Paragraphs>10</Paragraphs>
  <TotalTime>1</TotalTime>
  <ScaleCrop>false</ScaleCrop>
  <LinksUpToDate>false</LinksUpToDate>
  <CharactersWithSpaces>5308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2021-01-25T06:03:00Z</dcterms:created>
  <dc:creator>微软用户</dc:creator>
  <cp:lastModifiedBy>李蒙生</cp:lastModifiedBy>
  <dcterms:modified xsi:type="dcterms:W3CDTF">2021-04-26T02:51:57Z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E2181CBEE73A4E75A9859DC35653186F</vt:lpwstr>
  </property>
</Properties>
</file>