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0305-2021-Q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绵竹市佳伦包装印务有限公司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杨旸</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绵竹市佳伦包装印务有限公司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四川省绵竹市新市场镇</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618209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四川省绵竹市新市场镇</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618209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杨玲</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13778274722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胡加伦</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杨玲</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229055145@qq.com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包装装潢印刷品印刷（限许可范围内）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09.01.02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 w:val="24"/>
          <w:szCs w:val="24"/>
        </w:rPr>
        <w:t>管理层、</w:t>
      </w:r>
      <w:r>
        <w:rPr>
          <w:rFonts w:hint="eastAsia"/>
          <w:sz w:val="24"/>
          <w:szCs w:val="24"/>
          <w:lang w:eastAsia="zh-CN"/>
        </w:rPr>
        <w:t>综合部、</w:t>
      </w:r>
      <w:r>
        <w:rPr>
          <w:rFonts w:hint="eastAsia"/>
          <w:sz w:val="24"/>
          <w:szCs w:val="24"/>
          <w:lang w:val="en-US" w:eastAsia="zh-CN"/>
        </w:rPr>
        <w:t>生产部、供销部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Times New Roman" w:hAnsi="Times New Roman" w:eastAsia="宋体" w:cs="Times New Roman"/>
                <w:szCs w:val="22"/>
                <w:lang w:val="en-US" w:eastAsia="zh-CN"/>
              </w:rPr>
            </w:pPr>
            <w:r>
              <w:rPr>
                <w:rFonts w:hint="eastAsia" w:ascii="宋体" w:hAnsi="宋体"/>
                <w:b/>
                <w:color w:val="000000"/>
                <w:sz w:val="20"/>
                <w:szCs w:val="20"/>
              </w:rPr>
              <w:t>产品：</w:t>
            </w:r>
            <w:r>
              <w:rPr>
                <w:rFonts w:hint="eastAsia" w:ascii="Times New Roman" w:hAnsi="Times New Roman" w:eastAsia="宋体" w:cs="Times New Roman"/>
                <w:szCs w:val="22"/>
                <w:lang w:val="en-US" w:eastAsia="zh-CN"/>
              </w:rPr>
              <w:t xml:space="preserve">包装装潢印刷品印刷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w:t>
            </w:r>
            <w:r>
              <w:rPr>
                <w:rFonts w:hint="eastAsia" w:cs="Times New Roman"/>
                <w:szCs w:val="22"/>
                <w:lang w:val="en-US" w:eastAsia="zh-CN"/>
              </w:rPr>
              <w:t>综合部</w:t>
            </w:r>
            <w:r>
              <w:rPr>
                <w:rFonts w:hint="eastAsia" w:ascii="Times New Roman" w:hAnsi="Times New Roman" w:eastAsia="宋体" w:cs="Times New Roman"/>
                <w:szCs w:val="22"/>
                <w:lang w:val="en-US" w:eastAsia="zh-CN"/>
              </w:rPr>
              <w:t>、</w:t>
            </w:r>
            <w:r>
              <w:rPr>
                <w:rFonts w:hint="eastAsia" w:cs="Times New Roman"/>
                <w:szCs w:val="22"/>
                <w:lang w:val="en-US" w:eastAsia="zh-CN"/>
              </w:rPr>
              <w:t>生产部</w:t>
            </w:r>
            <w:r>
              <w:rPr>
                <w:rFonts w:hint="eastAsia" w:ascii="Times New Roman" w:hAnsi="Times New Roman" w:eastAsia="宋体" w:cs="Times New Roman"/>
                <w:szCs w:val="22"/>
                <w:lang w:val="en-US" w:eastAsia="zh-CN"/>
              </w:rPr>
              <w:t>、</w:t>
            </w:r>
            <w:r>
              <w:rPr>
                <w:rFonts w:hint="eastAsia" w:cs="Times New Roman"/>
                <w:szCs w:val="22"/>
                <w:lang w:val="en-US" w:eastAsia="zh-CN"/>
              </w:rPr>
              <w:t>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cs="Times New Roman"/>
                <w:szCs w:val="22"/>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cs="Times New Roman"/>
                <w:szCs w:val="22"/>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四川省绵竹市新市场镇</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w:t>
            </w:r>
            <w:r>
              <w:rPr>
                <w:rFonts w:hint="eastAsia" w:ascii="宋体" w:hAnsi="宋体"/>
                <w:color w:val="000000"/>
                <w:sz w:val="20"/>
                <w:szCs w:val="20"/>
                <w:highlight w:val="none"/>
                <w:lang w:eastAsia="zh-CN"/>
              </w:rPr>
              <w:t>■</w:t>
            </w:r>
            <w:r>
              <w:rPr>
                <w:rFonts w:hint="eastAsia" w:ascii="宋体" w:hAnsi="宋体"/>
                <w:color w:val="000000"/>
                <w:sz w:val="20"/>
                <w:szCs w:val="20"/>
              </w:rPr>
              <w:t>自建办公用房</w:t>
            </w:r>
            <w:r>
              <w:rPr>
                <w:rFonts w:hint="eastAsia" w:ascii="宋体" w:hAnsi="宋体"/>
                <w:color w:val="000000"/>
                <w:sz w:val="20"/>
                <w:szCs w:val="20"/>
                <w:highlight w:val="none"/>
                <w:lang w:eastAsia="zh-CN"/>
              </w:rPr>
              <w:t>■</w:t>
            </w:r>
            <w:r>
              <w:rPr>
                <w:rFonts w:hint="eastAsia" w:ascii="宋体" w:hAnsi="宋体"/>
                <w:color w:val="000000"/>
                <w:sz w:val="20"/>
                <w:szCs w:val="20"/>
              </w:rPr>
              <w:t>自建厂房</w:t>
            </w:r>
            <w:r>
              <w:rPr>
                <w:rFonts w:hint="eastAsia" w:ascii="宋体" w:hAnsi="宋体"/>
                <w:color w:val="000000"/>
                <w:sz w:val="20"/>
                <w:szCs w:val="20"/>
                <w:lang w:eastAsia="zh-CN"/>
              </w:rPr>
              <w:t>□</w:t>
            </w:r>
            <w:r>
              <w:rPr>
                <w:rFonts w:hint="eastAsia" w:ascii="宋体" w:hAnsi="宋体"/>
                <w:color w:val="000000"/>
                <w:sz w:val="20"/>
                <w:szCs w:val="20"/>
              </w:rPr>
              <w:t>租用办公</w:t>
            </w:r>
            <w:r>
              <w:rPr>
                <w:rFonts w:hint="eastAsia" w:ascii="宋体" w:hAnsi="宋体"/>
                <w:color w:val="000000"/>
                <w:sz w:val="20"/>
                <w:szCs w:val="20"/>
                <w:highlight w:val="none"/>
              </w:rPr>
              <w:t>用房</w:t>
            </w:r>
            <w:r>
              <w:rPr>
                <w:rFonts w:hint="eastAsia" w:ascii="宋体" w:hAnsi="宋体"/>
                <w:color w:val="000000"/>
                <w:spacing w:val="-10"/>
                <w:sz w:val="20"/>
                <w:szCs w:val="20"/>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s="宋体"/>
                <w:color w:val="FF0000"/>
                <w:sz w:val="21"/>
                <w:szCs w:val="21"/>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Arial"/>
                <w:szCs w:val="21"/>
                <w:shd w:val="clear" w:color="auto" w:fill="FFFFFF"/>
                <w:lang w:val="en-US" w:eastAsia="zh-CN"/>
              </w:rPr>
              <w:t>GB/T6543-----2008标准、GB/T6543-----2008标准等</w:t>
            </w:r>
            <w:r>
              <w:rPr>
                <w:rFonts w:hint="eastAsia" w:ascii="宋体" w:hAnsi="宋体" w:cs="宋体"/>
                <w:sz w:val="21"/>
                <w:szCs w:val="21"/>
                <w:lang w:val="en-US" w:eastAsia="zh-CN"/>
              </w:rPr>
              <w:t>。</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w:t>
            </w:r>
            <w:r>
              <w:rPr>
                <w:rFonts w:hint="eastAsia" w:ascii="宋体"/>
                <w:color w:val="000000"/>
                <w:sz w:val="20"/>
                <w:szCs w:val="20"/>
                <w:lang w:eastAsia="zh-CN"/>
              </w:rPr>
              <w:t>■</w:t>
            </w:r>
            <w:r>
              <w:rPr>
                <w:rFonts w:hint="eastAsia" w:ascii="宋体"/>
                <w:color w:val="000000"/>
                <w:sz w:val="20"/>
                <w:szCs w:val="20"/>
              </w:rPr>
              <w:t>是□否，抽查结果</w:t>
            </w:r>
            <w:r>
              <w:rPr>
                <w:rFonts w:hint="eastAsia" w:ascii="宋体"/>
                <w:color w:val="000000"/>
                <w:sz w:val="20"/>
                <w:szCs w:val="20"/>
                <w:lang w:eastAsia="zh-CN"/>
              </w:rPr>
              <w:t>■</w:t>
            </w:r>
            <w:r>
              <w:rPr>
                <w:rFonts w:hint="eastAsia" w:ascii="宋体"/>
                <w:color w:val="000000"/>
                <w:sz w:val="20"/>
                <w:szCs w:val="20"/>
              </w:rPr>
              <w:t>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rPr>
                <w:rFonts w:hint="eastAsia" w:ascii="宋体" w:hAnsi="宋体"/>
                <w:color w:val="000000"/>
                <w:sz w:val="20"/>
                <w:szCs w:val="20"/>
              </w:rPr>
            </w:pPr>
            <w:r>
              <w:rPr>
                <w:rFonts w:hint="eastAsia"/>
                <w:b w:val="0"/>
                <w:bCs/>
                <w:sz w:val="20"/>
                <w:highlight w:val="none"/>
                <w:lang w:val="en-US" w:eastAsia="zh-CN"/>
              </w:rPr>
              <w:t>原材</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瓦楞制作</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纵切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横切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堆码</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印刷</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装订</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cs="宋体"/>
                <w:color w:val="auto"/>
                <w:szCs w:val="21"/>
                <w:highlight w:val="none"/>
                <w:lang w:val="en-US" w:eastAsia="zh-CN"/>
              </w:rPr>
              <w:t>粘合、预热、烘干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s="宋体"/>
                <w:color w:val="auto"/>
                <w:szCs w:val="21"/>
                <w:highlight w:val="none"/>
                <w:lang w:val="en-US" w:eastAsia="zh-CN"/>
              </w:rPr>
              <w:t>粘合、预热、烘干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highlight w:val="none"/>
              </w:rPr>
              <w:t>外包过程有：</w:t>
            </w:r>
            <w:r>
              <w:rPr>
                <w:rFonts w:hint="eastAsia" w:ascii="宋体" w:hAnsi="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ascii="宋体" w:hAnsi="宋体"/>
                <w:sz w:val="21"/>
                <w:szCs w:val="21"/>
                <w:highlight w:val="none"/>
              </w:rPr>
              <w:t>等</w:t>
            </w:r>
            <w:r>
              <w:rPr>
                <w:rFonts w:hint="eastAsia" w:ascii="宋体" w:hAnsi="宋体"/>
                <w:sz w:val="21"/>
                <w:szCs w:val="21"/>
                <w:highlight w:val="none"/>
                <w:lang w:val="en-US" w:eastAsia="zh-CN"/>
              </w:rPr>
              <w:t>及</w:t>
            </w:r>
            <w:r>
              <w:rPr>
                <w:rFonts w:hint="eastAsia" w:ascii="宋体" w:hAnsi="宋体"/>
                <w:color w:val="auto"/>
                <w:szCs w:val="21"/>
                <w:highlight w:val="none"/>
              </w:rPr>
              <w:t>电脑</w:t>
            </w:r>
            <w:r>
              <w:rPr>
                <w:rFonts w:hint="eastAsia" w:ascii="宋体" w:hAnsi="宋体"/>
                <w:color w:val="auto"/>
                <w:szCs w:val="21"/>
                <w:highlight w:val="none"/>
                <w:lang w:val="en-US" w:eastAsia="zh-CN"/>
              </w:rPr>
              <w:t>和</w:t>
            </w:r>
            <w:r>
              <w:rPr>
                <w:rFonts w:hint="eastAsia" w:ascii="宋体" w:hAnsi="宋体"/>
                <w:color w:val="auto"/>
                <w:szCs w:val="21"/>
                <w:highlight w:val="none"/>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锅炉</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color w:val="000000" w:themeColor="text1"/>
                <w:sz w:val="21"/>
                <w:szCs w:val="21"/>
                <w:highlight w:val="none"/>
                <w:lang w:val="en-US" w:eastAsia="zh-CN"/>
              </w:rPr>
              <w:t>全自动破破强度试验机、</w:t>
            </w:r>
            <w:r>
              <w:rPr>
                <w:rFonts w:hint="eastAsia" w:ascii="华文中宋" w:hAnsi="华文中宋" w:eastAsia="华文中宋"/>
                <w:szCs w:val="21"/>
                <w:highlight w:val="none"/>
                <w:lang w:eastAsia="zh-CN"/>
              </w:rPr>
              <w:t>纸箱抗压强度试验机</w:t>
            </w:r>
            <w:r>
              <w:rPr>
                <w:rFonts w:hint="eastAsia" w:ascii="宋体" w:hAnsi="宋体" w:cs="宋体"/>
                <w:kern w:val="0"/>
                <w:sz w:val="21"/>
                <w:szCs w:val="21"/>
                <w:highlight w:val="none"/>
              </w:rPr>
              <w:t>等</w:t>
            </w:r>
            <w:r>
              <w:rPr>
                <w:rFonts w:hint="eastAsia" w:ascii="宋体" w:hAnsi="宋体" w:cs="宋体"/>
                <w:kern w:val="0"/>
                <w:sz w:val="21"/>
                <w:szCs w:val="21"/>
                <w:highlight w:val="none"/>
                <w:lang w:eastAsia="zh-CN"/>
              </w:rPr>
              <w:t>，</w:t>
            </w:r>
            <w:r>
              <w:rPr>
                <w:rFonts w:hint="eastAsia" w:ascii="宋体" w:hAnsi="宋体" w:eastAsia="宋体" w:cs="Times New Roman"/>
                <w:color w:val="auto"/>
                <w:szCs w:val="21"/>
                <w:lang w:val="en-US" w:eastAsia="zh-CN"/>
              </w:rPr>
              <w:t>采取外检，提供的检测设备检定或校准证书已过期</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16</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生产部、供销部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38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建立有《内部审核控制程序》，于</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w:t>
            </w:r>
            <w:r>
              <w:rPr>
                <w:rFonts w:hint="eastAsia" w:ascii="宋体" w:hAnsi="宋体" w:cs="Times New Roman"/>
                <w:szCs w:val="21"/>
                <w:lang w:val="en-US" w:eastAsia="zh-CN"/>
              </w:rPr>
              <w:t>1</w:t>
            </w:r>
            <w:r>
              <w:rPr>
                <w:rFonts w:hint="eastAsia" w:ascii="宋体" w:hAnsi="宋体" w:eastAsia="宋体" w:cs="Times New Roman"/>
                <w:szCs w:val="21"/>
                <w:lang w:eastAsia="zh-CN"/>
              </w:rPr>
              <w:t xml:space="preserve">年 </w:t>
            </w:r>
            <w:r>
              <w:rPr>
                <w:rFonts w:hint="eastAsia" w:ascii="宋体" w:hAnsi="宋体" w:cs="Times New Roman"/>
                <w:szCs w:val="21"/>
                <w:lang w:val="en-US" w:eastAsia="zh-CN"/>
              </w:rPr>
              <w:t>1</w:t>
            </w:r>
            <w:r>
              <w:rPr>
                <w:rFonts w:hint="eastAsia" w:ascii="宋体" w:hAnsi="宋体" w:eastAsia="宋体" w:cs="Times New Roman"/>
                <w:szCs w:val="21"/>
                <w:lang w:eastAsia="zh-CN"/>
              </w:rPr>
              <w:t>月</w:t>
            </w:r>
            <w:r>
              <w:rPr>
                <w:rFonts w:hint="eastAsia" w:ascii="宋体" w:hAnsi="宋体" w:cs="Times New Roman"/>
                <w:szCs w:val="21"/>
                <w:lang w:val="en-US" w:eastAsia="zh-CN"/>
              </w:rPr>
              <w:t>10</w:t>
            </w:r>
            <w:r>
              <w:rPr>
                <w:rFonts w:hint="eastAsia" w:ascii="宋体" w:hAnsi="宋体" w:eastAsia="宋体" w:cs="Times New Roman"/>
                <w:szCs w:val="21"/>
                <w:lang w:eastAsia="zh-CN"/>
              </w:rPr>
              <w:t>日</w:t>
            </w:r>
            <w:r>
              <w:rPr>
                <w:rFonts w:hint="eastAsia" w:ascii="宋体" w:hAnsi="宋体" w:cs="Times New Roman"/>
                <w:szCs w:val="21"/>
                <w:lang w:val="en-US" w:eastAsia="zh-CN"/>
              </w:rPr>
              <w:t>-11日</w:t>
            </w:r>
            <w:r>
              <w:rPr>
                <w:rFonts w:hint="eastAsia"/>
                <w:sz w:val="21"/>
                <w:szCs w:val="21"/>
                <w:highlight w:val="none"/>
              </w:rPr>
              <w:t>进行了内部审核。内部审核组组成</w:t>
            </w:r>
            <w:r>
              <w:rPr>
                <w:rFonts w:hint="eastAsia"/>
                <w:sz w:val="21"/>
                <w:szCs w:val="21"/>
                <w:highlight w:val="none"/>
                <w:lang w:eastAsia="zh-CN"/>
              </w:rPr>
              <w:t>：</w:t>
            </w:r>
            <w:r>
              <w:rPr>
                <w:rFonts w:hint="eastAsia" w:ascii="宋体" w:hAnsi="宋体"/>
                <w:szCs w:val="21"/>
              </w:rPr>
              <w:t>组长：</w:t>
            </w:r>
            <w:r>
              <w:rPr>
                <w:rFonts w:hint="eastAsia" w:ascii="宋体" w:hAnsi="宋体"/>
                <w:szCs w:val="21"/>
                <w:lang w:val="en-US" w:eastAsia="zh-CN"/>
              </w:rPr>
              <w:t>胡阳杰</w:t>
            </w:r>
            <w:r>
              <w:rPr>
                <w:rFonts w:hint="eastAsia" w:ascii="宋体" w:hAnsi="宋体"/>
                <w:szCs w:val="21"/>
              </w:rPr>
              <w:t xml:space="preserve">    组员：</w:t>
            </w:r>
            <w:r>
              <w:rPr>
                <w:rFonts w:hint="eastAsia" w:ascii="宋体" w:hAnsi="宋体"/>
                <w:szCs w:val="21"/>
                <w:lang w:val="en-US" w:eastAsia="zh-CN"/>
              </w:rPr>
              <w:t>杨玲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kern w:val="0"/>
                <w:szCs w:val="21"/>
                <w:highlight w:val="none"/>
              </w:rPr>
              <w:t>202</w:t>
            </w:r>
            <w:r>
              <w:rPr>
                <w:rFonts w:hint="eastAsia" w:ascii="宋体" w:hAnsi="宋体"/>
                <w:kern w:val="0"/>
                <w:szCs w:val="21"/>
                <w:highlight w:val="none"/>
                <w:lang w:val="en-US" w:eastAsia="zh-CN"/>
              </w:rPr>
              <w:t>1</w:t>
            </w:r>
            <w:r>
              <w:rPr>
                <w:rFonts w:hint="eastAsia" w:ascii="宋体" w:hAnsi="宋体"/>
                <w:kern w:val="0"/>
                <w:szCs w:val="21"/>
                <w:highlight w:val="none"/>
              </w:rPr>
              <w:t>年</w:t>
            </w:r>
            <w:r>
              <w:rPr>
                <w:rFonts w:hint="eastAsia" w:ascii="宋体" w:hAnsi="宋体"/>
                <w:kern w:val="0"/>
                <w:szCs w:val="21"/>
                <w:highlight w:val="none"/>
                <w:lang w:val="en-US" w:eastAsia="zh-CN"/>
              </w:rPr>
              <w:t>1</w:t>
            </w:r>
            <w:r>
              <w:rPr>
                <w:rFonts w:hint="eastAsia" w:ascii="宋体" w:hAnsi="宋体"/>
                <w:kern w:val="0"/>
                <w:szCs w:val="21"/>
                <w:highlight w:val="none"/>
              </w:rPr>
              <w:t>月</w:t>
            </w:r>
            <w:r>
              <w:rPr>
                <w:rFonts w:hint="eastAsia" w:ascii="宋体" w:hAnsi="宋体"/>
                <w:kern w:val="0"/>
                <w:szCs w:val="21"/>
                <w:highlight w:val="none"/>
                <w:lang w:val="en-US" w:eastAsia="zh-CN"/>
              </w:rPr>
              <w:t>29</w:t>
            </w:r>
            <w:r>
              <w:rPr>
                <w:rFonts w:hint="eastAsia" w:ascii="宋体" w:hAnsi="宋体"/>
                <w:kern w:val="0"/>
                <w:szCs w:val="21"/>
                <w:highlight w:val="none"/>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val="en-US" w:eastAsia="zh-CN"/>
        </w:rPr>
      </w:pPr>
      <w:r>
        <w:rPr>
          <w:rFonts w:ascii="宋体" w:hAnsi="宋体"/>
          <w:b/>
          <w:color w:val="000000"/>
          <w:sz w:val="20"/>
          <w:szCs w:val="20"/>
        </w:rPr>
        <w:t>QMS:</w:t>
      </w:r>
      <w:r>
        <w:rPr>
          <w:sz w:val="20"/>
          <w:u w:val="single"/>
        </w:rPr>
        <w:t>包装装潢印刷品印刷（限许可范围内）</w:t>
      </w:r>
      <w:r>
        <w:rPr>
          <w:rFonts w:hint="eastAsia" w:ascii="宋体" w:hAnsi="宋体"/>
          <w:szCs w:val="21"/>
          <w:u w:val="single"/>
        </w:rPr>
        <w:t xml:space="preserve"> </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1912620</wp:posOffset>
            </wp:positionH>
            <wp:positionV relativeFrom="paragraph">
              <wp:posOffset>213360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1931670</wp:posOffset>
            </wp:positionH>
            <wp:positionV relativeFrom="paragraph">
              <wp:posOffset>62865</wp:posOffset>
            </wp:positionV>
            <wp:extent cx="469900" cy="344805"/>
            <wp:effectExtent l="0" t="0" r="0" b="10795"/>
            <wp:wrapNone/>
            <wp:docPr id="12" name="图片 2" descr="09475d67fa07517e3104073033d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09475d67fa07517e3104073033d7493"/>
                    <pic:cNvPicPr>
                      <a:picLocks noChangeAspect="1"/>
                    </pic:cNvPicPr>
                  </pic:nvPicPr>
                  <pic:blipFill>
                    <a:blip r:embed="rId7"/>
                    <a:srcRect l="79567" t="49010" r="10632" b="45349"/>
                    <a:stretch>
                      <a:fillRect/>
                    </a:stretch>
                  </pic:blipFill>
                  <pic:spPr>
                    <a:xfrm>
                      <a:off x="0" y="0"/>
                      <a:ext cx="469900" cy="34480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16</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eastAsia="隶书"/>
          <w:color w:val="000000"/>
          <w:sz w:val="24"/>
          <w:szCs w:val="24"/>
          <w:lang w:eastAsia="zh-CN"/>
        </w:rPr>
        <w:t>绵竹市佳伦包装印务有限公司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default"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rPr>
                <w:rFonts w:hint="default" w:ascii="宋体" w:hAnsi="宋体" w:eastAsia="宋体" w:cs="Times New Roman"/>
                <w:color w:val="auto"/>
                <w:szCs w:val="21"/>
                <w:highlight w:val="none"/>
                <w:lang w:val="en-US" w:eastAsia="zh-CN"/>
              </w:rPr>
            </w:pPr>
            <w:r>
              <w:rPr>
                <w:rFonts w:hint="eastAsia"/>
                <w:color w:val="000000" w:themeColor="text1"/>
                <w:sz w:val="21"/>
                <w:szCs w:val="21"/>
                <w:highlight w:val="none"/>
                <w:lang w:val="en-US" w:eastAsia="zh-CN"/>
              </w:rPr>
              <w:t>全自动破破强度试验机、</w:t>
            </w:r>
            <w:r>
              <w:rPr>
                <w:rFonts w:hint="eastAsia" w:ascii="华文中宋" w:hAnsi="华文中宋" w:eastAsia="华文中宋"/>
                <w:szCs w:val="21"/>
                <w:highlight w:val="none"/>
                <w:lang w:eastAsia="zh-CN"/>
              </w:rPr>
              <w:t>纸箱抗压强度试验机</w:t>
            </w:r>
            <w:r>
              <w:rPr>
                <w:rFonts w:hint="eastAsia" w:ascii="宋体" w:hAnsi="宋体" w:cs="宋体"/>
                <w:kern w:val="0"/>
                <w:sz w:val="21"/>
                <w:szCs w:val="21"/>
                <w:highlight w:val="none"/>
              </w:rPr>
              <w:t>等</w:t>
            </w:r>
            <w:r>
              <w:rPr>
                <w:rFonts w:hint="eastAsia" w:ascii="宋体" w:hAnsi="宋体" w:cs="宋体"/>
                <w:kern w:val="0"/>
                <w:sz w:val="21"/>
                <w:szCs w:val="21"/>
                <w:highlight w:val="none"/>
                <w:lang w:val="en-US" w:eastAsia="zh-CN"/>
              </w:rPr>
              <w:t>检测设备</w:t>
            </w:r>
            <w:r>
              <w:rPr>
                <w:rFonts w:hint="eastAsia" w:ascii="宋体" w:hAnsi="宋体" w:cs="宋体"/>
                <w:kern w:val="0"/>
                <w:sz w:val="21"/>
                <w:szCs w:val="21"/>
                <w:highlight w:val="none"/>
                <w:lang w:eastAsia="zh-CN"/>
              </w:rPr>
              <w:t>，</w:t>
            </w:r>
            <w:r>
              <w:rPr>
                <w:rFonts w:hint="eastAsia" w:ascii="宋体" w:hAnsi="宋体" w:eastAsia="宋体" w:cs="Times New Roman"/>
                <w:color w:val="auto"/>
                <w:szCs w:val="21"/>
                <w:lang w:val="en-US" w:eastAsia="zh-CN"/>
              </w:rPr>
              <w:t>采取外检，提供的检测设备检定或校准证书已过期</w:t>
            </w:r>
            <w:r>
              <w:rPr>
                <w:rFonts w:hint="eastAsia" w:ascii="宋体" w:hAnsi="宋体" w:eastAsia="宋体" w:cs="Times New Roman"/>
                <w:color w:val="auto"/>
                <w:szCs w:val="21"/>
                <w:highlight w:val="none"/>
              </w:rPr>
              <w:t>。</w:t>
            </w:r>
          </w:p>
          <w:p>
            <w:pPr>
              <w:pStyle w:val="5"/>
              <w:pBdr>
                <w:bottom w:val="none" w:color="auto" w:sz="0" w:space="0"/>
              </w:pBdr>
              <w:tabs>
                <w:tab w:val="center" w:pos="5737"/>
                <w:tab w:val="clear" w:pos="4153"/>
              </w:tabs>
              <w:jc w:val="both"/>
              <w:rPr>
                <w:rFonts w:hint="eastAsia" w:eastAsia="宋体"/>
                <w:color w:val="000000"/>
                <w:sz w:val="24"/>
                <w:szCs w:val="24"/>
                <w:lang w:val="en-US" w:eastAsia="zh-CN"/>
              </w:rPr>
            </w:pPr>
            <w:bookmarkStart w:id="24" w:name="_GoBack"/>
            <w:bookmarkEnd w:id="24"/>
          </w:p>
        </w:tc>
        <w:tc>
          <w:tcPr>
            <w:tcW w:w="1688" w:type="dxa"/>
            <w:vAlign w:val="center"/>
          </w:tcPr>
          <w:p>
            <w:pPr>
              <w:pStyle w:val="5"/>
              <w:pBdr>
                <w:bottom w:val="none" w:color="auto" w:sz="0" w:space="0"/>
              </w:pBdr>
              <w:ind w:right="600" w:rightChars="0"/>
              <w:jc w:val="both"/>
              <w:rPr>
                <w:rFonts w:hint="eastAsia" w:ascii="Times New Roman" w:hAnsi="Times New Roman" w:eastAsia="宋体" w:cs="Times New Roman"/>
                <w:color w:val="000000" w:themeColor="text1"/>
                <w:kern w:val="2"/>
                <w:sz w:val="21"/>
                <w:szCs w:val="21"/>
                <w:highlight w:val="none"/>
                <w:lang w:val="en-US" w:eastAsia="zh-CN" w:bidi="ar-SA"/>
              </w:rPr>
            </w:pPr>
            <w:r>
              <w:rPr>
                <w:rFonts w:hint="eastAsia" w:ascii="Times New Roman" w:hAnsi="Times New Roman" w:eastAsia="宋体" w:cs="Times New Roman"/>
                <w:color w:val="000000" w:themeColor="text1"/>
                <w:kern w:val="2"/>
                <w:sz w:val="21"/>
                <w:szCs w:val="21"/>
                <w:highlight w:val="none"/>
                <w:lang w:val="en-US" w:eastAsia="zh-CN" w:bidi="ar-SA"/>
              </w:rPr>
              <w:t>GB/T19001-2016/ISO9001:2015</w:t>
            </w:r>
          </w:p>
        </w:tc>
        <w:tc>
          <w:tcPr>
            <w:tcW w:w="1811" w:type="dxa"/>
            <w:vAlign w:val="center"/>
          </w:tcPr>
          <w:p>
            <w:pPr>
              <w:pStyle w:val="5"/>
              <w:pBdr>
                <w:bottom w:val="none" w:color="auto" w:sz="0" w:space="0"/>
              </w:pBdr>
              <w:ind w:right="600" w:rightChars="0"/>
              <w:jc w:val="both"/>
              <w:rPr>
                <w:rFonts w:hint="default" w:ascii="Times New Roman" w:hAnsi="Times New Roman" w:eastAsia="宋体" w:cs="Times New Roman"/>
                <w:color w:val="000000" w:themeColor="text1"/>
                <w:kern w:val="2"/>
                <w:sz w:val="21"/>
                <w:szCs w:val="21"/>
                <w:highlight w:val="none"/>
                <w:lang w:val="en-US" w:eastAsia="zh-CN" w:bidi="ar-SA"/>
              </w:rPr>
            </w:pPr>
            <w:r>
              <w:rPr>
                <w:rFonts w:hint="eastAsia" w:ascii="Times New Roman" w:hAnsi="Times New Roman" w:eastAsia="宋体" w:cs="Times New Roman"/>
                <w:color w:val="000000" w:themeColor="text1"/>
                <w:kern w:val="2"/>
                <w:sz w:val="21"/>
                <w:szCs w:val="21"/>
                <w:highlight w:val="none"/>
                <w:lang w:val="en-US" w:eastAsia="zh-CN" w:bidi="ar-SA"/>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587375</wp:posOffset>
                  </wp:positionH>
                  <wp:positionV relativeFrom="paragraph">
                    <wp:posOffset>165735</wp:posOffset>
                  </wp:positionV>
                  <wp:extent cx="812165" cy="275590"/>
                  <wp:effectExtent l="0" t="0" r="635" b="3810"/>
                  <wp:wrapNone/>
                  <wp:docPr id="1" name="图片 1"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rFonts w:hint="default"/>
                <w:b/>
                <w:color w:val="000000"/>
                <w:sz w:val="22"/>
                <w:szCs w:val="22"/>
                <w:lang w:val="en-US"/>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b/>
                <w:color w:val="000000"/>
                <w:sz w:val="22"/>
                <w:szCs w:val="22"/>
                <w:lang w:val="en-US" w:eastAsia="zh-CN"/>
              </w:rPr>
              <w:t>2021年4月16日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2021年4月16日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D83596"/>
    <w:rsid w:val="25960FFE"/>
    <w:rsid w:val="2D636574"/>
    <w:rsid w:val="40AF6222"/>
    <w:rsid w:val="67761804"/>
    <w:rsid w:val="74B26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18</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2021-04-27T14:11:08Z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C2245E585AD044C4A81D748589C29B48</vt:lpwstr>
  </property>
</Properties>
</file>