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0311-2021-E</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浙江中创节能科技有限公司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李凤仪</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环境管理体系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浙江中创节能科技有限公司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浙江省湖州市德清县阜溪街道长虹东街926号1期250号（莫干山国家高新区）</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313299</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r>
              <w:rPr>
                <w:rFonts w:ascii="宋体"/>
                <w:b/>
                <w:color w:val="000000"/>
                <w:sz w:val="20"/>
                <w:szCs w:val="20"/>
              </w:rPr>
              <w:t>经营地址：浙江省德清县中科卫星应用大厦17楼</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生产地址：浙江省湖州市南浔区菱湖镇工业功能区吉友路1号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313299</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周佳弘</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0572-5077799</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房中华</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周佳弘</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18758303326@163.com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spacing w:before="20" w:after="20"/>
              <w:rPr>
                <w:rFonts w:ascii="宋体"/>
                <w:b/>
                <w:color w:val="000000"/>
                <w:sz w:val="20"/>
                <w:szCs w:val="20"/>
              </w:rPr>
            </w:pPr>
            <w:r>
              <w:rPr>
                <w:rFonts w:hint="eastAsia"/>
                <w:sz w:val="21"/>
                <w:szCs w:val="21"/>
                <w:lang w:eastAsia="zh-CN"/>
              </w:rPr>
              <w:t>2020年</w:t>
            </w:r>
            <w:r>
              <w:rPr>
                <w:rFonts w:hint="eastAsia"/>
                <w:sz w:val="21"/>
                <w:szCs w:val="21"/>
                <w:lang w:val="en-US" w:eastAsia="zh-CN"/>
              </w:rPr>
              <w:t>11</w:t>
            </w:r>
            <w:r>
              <w:rPr>
                <w:rFonts w:hint="eastAsia"/>
                <w:sz w:val="21"/>
                <w:szCs w:val="21"/>
                <w:lang w:eastAsia="zh-CN"/>
              </w:rPr>
              <w:t>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装配式排烟风管产品的销售服务所涉及场所的相关环境管理活动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29.10.07</w:t>
            </w:r>
            <w:bookmarkEnd w:id="23"/>
            <w:bookmarkStart w:id="24" w:name="_GoBack"/>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tc>
      </w:tr>
    </w:tbl>
    <w:p>
      <w:pPr>
        <w:snapToGrid w:val="0"/>
        <w:spacing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评审的文件有管理手册和程序文件</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51" w:firstLineChars="139"/>
        <w:rPr>
          <w:rFonts w:ascii="宋体"/>
          <w:b/>
          <w:color w:val="000000"/>
          <w:spacing w:val="-4"/>
          <w:sz w:val="20"/>
          <w:szCs w:val="20"/>
        </w:rPr>
      </w:pPr>
      <w:r>
        <w:rPr>
          <w:rFonts w:hint="eastAsia" w:ascii="宋体" w:hAnsi="宋体"/>
          <w:b/>
          <w:color w:val="000000"/>
          <w:spacing w:val="-10"/>
          <w:sz w:val="20"/>
          <w:szCs w:val="20"/>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部门：管理层、</w:t>
      </w:r>
      <w:r>
        <w:rPr>
          <w:rFonts w:hint="eastAsia" w:ascii="宋体" w:hAnsi="宋体"/>
          <w:b/>
          <w:color w:val="000000"/>
          <w:sz w:val="20"/>
          <w:szCs w:val="20"/>
          <w:lang w:eastAsia="zh-CN"/>
        </w:rPr>
        <w:t>行政部</w:t>
      </w:r>
      <w:r>
        <w:rPr>
          <w:rFonts w:hint="eastAsia" w:ascii="宋体" w:hAnsi="宋体"/>
          <w:b/>
          <w:color w:val="000000"/>
          <w:sz w:val="20"/>
          <w:szCs w:val="20"/>
        </w:rPr>
        <w:t>、供销部、生产技术部、</w:t>
      </w:r>
      <w:r>
        <w:rPr>
          <w:rFonts w:hint="eastAsia" w:ascii="宋体" w:hAnsi="宋体"/>
          <w:b/>
          <w:color w:val="000000"/>
          <w:sz w:val="20"/>
          <w:szCs w:val="20"/>
          <w:lang w:val="en-US" w:eastAsia="zh-CN"/>
        </w:rPr>
        <w:t>质量部、</w:t>
      </w:r>
      <w:r>
        <w:rPr>
          <w:rFonts w:hint="eastAsia" w:ascii="宋体" w:hAnsi="宋体"/>
          <w:b/>
          <w:color w:val="000000"/>
          <w:sz w:val="20"/>
          <w:szCs w:val="20"/>
        </w:rPr>
        <w:t>车间</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场所：生产现场</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）质量管理体系是否删减（Q8.3）</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r>
              <w:rPr>
                <w:rFonts w:hint="eastAsia" w:ascii="宋体" w:hAnsi="宋体"/>
                <w:color w:val="000000"/>
                <w:sz w:val="20"/>
                <w:szCs w:val="20"/>
                <w:lang w:val="en-US" w:eastAsia="zh-CN"/>
              </w:rPr>
              <w:t>产品运输</w:t>
            </w:r>
            <w:r>
              <w:rPr>
                <w:rFonts w:hint="eastAsia" w:ascii="宋体" w:hAnsi="宋体"/>
                <w:color w:val="000000"/>
                <w:sz w:val="20"/>
                <w:szCs w:val="20"/>
              </w:rPr>
              <w:t>外包</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spacing w:line="400" w:lineRule="exact"/>
              <w:rPr>
                <w:b/>
                <w:color w:val="000000" w:themeColor="text1"/>
                <w:sz w:val="22"/>
                <w:szCs w:val="22"/>
              </w:rPr>
            </w:pPr>
            <w:r>
              <w:rPr>
                <w:rFonts w:hint="eastAsia" w:ascii="宋体" w:hAnsi="宋体"/>
                <w:b/>
                <w:color w:val="000000"/>
                <w:sz w:val="20"/>
              </w:rPr>
              <w:t>产品：</w:t>
            </w:r>
            <w:r>
              <w:rPr>
                <w:rFonts w:ascii="宋体" w:hAnsi="宋体"/>
                <w:b/>
                <w:color w:val="000000"/>
                <w:sz w:val="20"/>
                <w:szCs w:val="20"/>
              </w:rPr>
              <w:t>装配式排烟风管产品的生产</w:t>
            </w:r>
          </w:p>
          <w:p>
            <w:pPr>
              <w:spacing w:line="400" w:lineRule="exact"/>
              <w:rPr>
                <w:rFonts w:ascii="宋体" w:hAnsi="宋体"/>
                <w:b/>
                <w:szCs w:val="21"/>
              </w:rPr>
            </w:pPr>
            <w:r>
              <w:rPr>
                <w:rFonts w:hint="eastAsia" w:ascii="宋体" w:hAnsi="宋体"/>
                <w:b/>
                <w:color w:val="000000"/>
                <w:sz w:val="20"/>
                <w:szCs w:val="20"/>
              </w:rPr>
              <w:t>服务：</w:t>
            </w:r>
            <w:r>
              <w:rPr>
                <w:rFonts w:ascii="宋体" w:hAnsi="宋体"/>
                <w:b/>
                <w:color w:val="000000"/>
                <w:sz w:val="20"/>
                <w:szCs w:val="20"/>
              </w:rPr>
              <w:t>装配式排烟风管产品的销售服务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vAlign w:val="top"/>
          </w:tcPr>
          <w:p>
            <w:pPr>
              <w:keepNext w:val="0"/>
              <w:keepLines w:val="0"/>
              <w:pageBreakBefore w:val="0"/>
              <w:widowControl w:val="0"/>
              <w:tabs>
                <w:tab w:val="left" w:pos="360"/>
              </w:tabs>
              <w:kinsoku/>
              <w:wordWrap/>
              <w:overflowPunct/>
              <w:topLinePunct w:val="0"/>
              <w:autoSpaceDE/>
              <w:autoSpaceDN/>
              <w:bidi w:val="0"/>
              <w:adjustRightInd/>
              <w:snapToGrid/>
              <w:spacing w:beforeLines="50" w:line="280" w:lineRule="exact"/>
              <w:ind w:left="357" w:hanging="357"/>
              <w:jc w:val="both"/>
              <w:textAlignment w:val="auto"/>
              <w:rPr>
                <w:rFonts w:hint="default" w:ascii="宋体" w:eastAsia="宋体"/>
                <w:b/>
                <w:color w:val="000000"/>
                <w:sz w:val="20"/>
                <w:szCs w:val="20"/>
                <w:lang w:val="en-US" w:eastAsia="zh-CN"/>
              </w:rPr>
            </w:pPr>
            <w:r>
              <w:rPr>
                <w:rFonts w:hint="eastAsia" w:ascii="宋体" w:hAnsi="宋体"/>
                <w:b/>
                <w:color w:val="000000"/>
                <w:sz w:val="20"/>
                <w:szCs w:val="20"/>
              </w:rPr>
              <w:t>公司部门设置：管理层、生产技术部、</w:t>
            </w:r>
            <w:r>
              <w:rPr>
                <w:rFonts w:hint="eastAsia" w:ascii="宋体" w:hAnsi="宋体"/>
                <w:b/>
                <w:color w:val="000000"/>
                <w:sz w:val="20"/>
                <w:szCs w:val="20"/>
                <w:lang w:eastAsia="zh-CN"/>
              </w:rPr>
              <w:t>行政部</w:t>
            </w:r>
            <w:r>
              <w:rPr>
                <w:rFonts w:hint="eastAsia" w:ascii="宋体" w:hAnsi="宋体"/>
                <w:b/>
                <w:color w:val="000000"/>
                <w:sz w:val="20"/>
                <w:szCs w:val="20"/>
              </w:rPr>
              <w:t>（包括财务）、</w:t>
            </w:r>
            <w:r>
              <w:rPr>
                <w:rFonts w:hint="eastAsia" w:ascii="宋体" w:hAnsi="宋体"/>
                <w:b/>
                <w:color w:val="000000"/>
                <w:sz w:val="20"/>
                <w:szCs w:val="20"/>
                <w:lang w:val="en-US" w:eastAsia="zh-CN"/>
              </w:rPr>
              <w:t>销售</w:t>
            </w:r>
            <w:r>
              <w:rPr>
                <w:rFonts w:hint="eastAsia" w:ascii="宋体" w:hAnsi="宋体"/>
                <w:b/>
                <w:color w:val="000000"/>
                <w:sz w:val="20"/>
                <w:szCs w:val="20"/>
              </w:rPr>
              <w:t>部</w:t>
            </w:r>
            <w:r>
              <w:rPr>
                <w:rFonts w:hint="eastAsia" w:ascii="宋体" w:hAnsi="宋体"/>
                <w:b/>
                <w:color w:val="000000"/>
                <w:sz w:val="20"/>
                <w:szCs w:val="20"/>
                <w:lang w:eastAsia="zh-CN"/>
              </w:rPr>
              <w:t>、</w:t>
            </w:r>
            <w:r>
              <w:rPr>
                <w:rFonts w:hint="eastAsia" w:ascii="宋体" w:hAnsi="宋体"/>
                <w:b/>
                <w:color w:val="000000"/>
                <w:sz w:val="20"/>
                <w:szCs w:val="20"/>
                <w:lang w:val="en-US" w:eastAsia="zh-CN"/>
              </w:rPr>
              <w:t>质量部</w:t>
            </w:r>
          </w:p>
          <w:p>
            <w:pPr>
              <w:keepNext w:val="0"/>
              <w:keepLines w:val="0"/>
              <w:pageBreakBefore w:val="0"/>
              <w:widowControl w:val="0"/>
              <w:tabs>
                <w:tab w:val="left" w:pos="360"/>
              </w:tabs>
              <w:kinsoku/>
              <w:wordWrap/>
              <w:overflowPunct/>
              <w:topLinePunct w:val="0"/>
              <w:autoSpaceDE/>
              <w:autoSpaceDN/>
              <w:bidi w:val="0"/>
              <w:adjustRightInd/>
              <w:snapToGrid/>
              <w:spacing w:beforeLines="50" w:line="280" w:lineRule="exact"/>
              <w:ind w:left="357" w:hanging="357"/>
              <w:jc w:val="both"/>
              <w:textAlignment w:val="auto"/>
              <w:rPr>
                <w:rFonts w:hint="eastAsia" w:ascii="宋体" w:eastAsia="宋体"/>
                <w:b/>
                <w:color w:val="000000"/>
                <w:sz w:val="20"/>
                <w:szCs w:val="20"/>
                <w:lang w:eastAsia="zh-CN"/>
              </w:rPr>
            </w:pPr>
            <w:r>
              <w:rPr>
                <w:rFonts w:hint="eastAsia" w:ascii="宋体" w:hAnsi="宋体"/>
                <w:b/>
                <w:color w:val="000000"/>
                <w:sz w:val="20"/>
                <w:szCs w:val="20"/>
              </w:rPr>
              <w:t>管理体系推进部门：</w:t>
            </w:r>
            <w:r>
              <w:rPr>
                <w:rFonts w:hint="eastAsia" w:ascii="宋体" w:hAnsi="宋体"/>
                <w:b/>
                <w:color w:val="000000"/>
                <w:sz w:val="20"/>
                <w:szCs w:val="20"/>
                <w:lang w:eastAsia="zh-CN"/>
              </w:rPr>
              <w:t>行政部</w:t>
            </w:r>
          </w:p>
          <w:p>
            <w:pPr>
              <w:keepNext w:val="0"/>
              <w:keepLines w:val="0"/>
              <w:pageBreakBefore w:val="0"/>
              <w:widowControl w:val="0"/>
              <w:tabs>
                <w:tab w:val="left" w:pos="360"/>
              </w:tabs>
              <w:kinsoku/>
              <w:wordWrap/>
              <w:overflowPunct/>
              <w:topLinePunct w:val="0"/>
              <w:autoSpaceDE/>
              <w:autoSpaceDN/>
              <w:bidi w:val="0"/>
              <w:adjustRightInd/>
              <w:snapToGrid/>
              <w:spacing w:beforeLines="50" w:line="280" w:lineRule="exact"/>
              <w:ind w:left="357" w:hanging="357"/>
              <w:jc w:val="both"/>
              <w:textAlignment w:val="auto"/>
              <w:rPr>
                <w:rFonts w:hint="eastAsia" w:ascii="宋体" w:hAnsi="宋体"/>
                <w:b/>
                <w:color w:val="000000"/>
                <w:sz w:val="20"/>
                <w:szCs w:val="20"/>
                <w:lang w:eastAsia="zh-CN"/>
              </w:rPr>
            </w:pPr>
            <w:r>
              <w:rPr>
                <w:rFonts w:hint="eastAsia" w:ascii="宋体" w:hAnsi="宋体"/>
                <w:b/>
                <w:color w:val="000000"/>
                <w:sz w:val="20"/>
                <w:szCs w:val="20"/>
              </w:rPr>
              <w:t>质量管理部门：</w:t>
            </w:r>
            <w:r>
              <w:rPr>
                <w:rFonts w:hint="eastAsia" w:ascii="宋体" w:hAnsi="宋体"/>
                <w:b/>
                <w:color w:val="000000"/>
                <w:sz w:val="20"/>
                <w:szCs w:val="20"/>
                <w:lang w:eastAsia="zh-CN"/>
              </w:rPr>
              <w:t>行政部</w:t>
            </w:r>
          </w:p>
          <w:p>
            <w:pPr>
              <w:keepNext w:val="0"/>
              <w:keepLines w:val="0"/>
              <w:pageBreakBefore w:val="0"/>
              <w:widowControl w:val="0"/>
              <w:tabs>
                <w:tab w:val="left" w:pos="360"/>
              </w:tabs>
              <w:kinsoku/>
              <w:wordWrap/>
              <w:overflowPunct/>
              <w:topLinePunct w:val="0"/>
              <w:autoSpaceDE/>
              <w:autoSpaceDN/>
              <w:bidi w:val="0"/>
              <w:adjustRightInd/>
              <w:snapToGrid/>
              <w:spacing w:beforeLines="50" w:line="280" w:lineRule="exact"/>
              <w:ind w:left="357" w:hanging="357"/>
              <w:jc w:val="both"/>
              <w:textAlignment w:val="auto"/>
              <w:rPr>
                <w:rFonts w:ascii="宋体"/>
                <w:b/>
                <w:color w:val="000000"/>
                <w:sz w:val="20"/>
                <w:szCs w:val="20"/>
              </w:rPr>
            </w:pPr>
            <w:r>
              <w:rPr>
                <w:rFonts w:hint="eastAsia" w:ascii="宋体" w:hAnsi="宋体"/>
                <w:b/>
                <w:color w:val="000000"/>
                <w:sz w:val="20"/>
                <w:szCs w:val="20"/>
              </w:rPr>
              <w:t xml:space="preserve">环境管理主管部门： </w:t>
            </w:r>
            <w:r>
              <w:rPr>
                <w:rFonts w:hint="eastAsia" w:ascii="宋体" w:hAnsi="宋体"/>
                <w:b/>
                <w:color w:val="000000"/>
                <w:sz w:val="20"/>
                <w:szCs w:val="20"/>
                <w:lang w:eastAsia="zh-CN"/>
              </w:rPr>
              <w:t>行政部</w:t>
            </w:r>
          </w:p>
          <w:p>
            <w:pPr>
              <w:keepNext w:val="0"/>
              <w:keepLines w:val="0"/>
              <w:pageBreakBefore w:val="0"/>
              <w:widowControl w:val="0"/>
              <w:tabs>
                <w:tab w:val="left" w:pos="360"/>
              </w:tabs>
              <w:kinsoku/>
              <w:wordWrap/>
              <w:overflowPunct/>
              <w:topLinePunct w:val="0"/>
              <w:autoSpaceDE/>
              <w:autoSpaceDN/>
              <w:bidi w:val="0"/>
              <w:adjustRightInd/>
              <w:snapToGrid/>
              <w:spacing w:line="280" w:lineRule="exact"/>
              <w:jc w:val="both"/>
              <w:textAlignment w:val="auto"/>
              <w:rPr>
                <w:rFonts w:hint="eastAsia" w:ascii="宋体" w:eastAsia="宋体"/>
                <w:b/>
                <w:color w:val="000000"/>
                <w:sz w:val="20"/>
                <w:szCs w:val="20"/>
                <w:lang w:eastAsia="zh-CN"/>
              </w:rPr>
            </w:pPr>
            <w:r>
              <w:rPr>
                <w:rFonts w:hint="eastAsia" w:ascii="宋体" w:hAnsi="宋体"/>
                <w:b/>
                <w:color w:val="000000"/>
                <w:sz w:val="20"/>
                <w:szCs w:val="20"/>
              </w:rPr>
              <w:t xml:space="preserve">职业健康安全主管部门： </w:t>
            </w:r>
            <w:r>
              <w:rPr>
                <w:rFonts w:hint="eastAsia" w:ascii="宋体" w:hAnsi="宋体"/>
                <w:b/>
                <w:color w:val="000000"/>
                <w:sz w:val="20"/>
                <w:szCs w:val="20"/>
                <w:lang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r>
              <w:rPr>
                <w:rFonts w:hint="eastAsia" w:ascii="宋体"/>
                <w:color w:val="000000"/>
                <w:sz w:val="20"/>
                <w:szCs w:val="20"/>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hint="eastAsia" w:eastAsia="宋体"/>
                <w:lang w:eastAsia="zh-CN"/>
              </w:rPr>
            </w:pPr>
            <w:r>
              <w:rPr>
                <w:rFonts w:hint="eastAsia" w:ascii="宋体" w:hAnsi="宋体"/>
                <w:color w:val="000000"/>
                <w:sz w:val="20"/>
                <w:szCs w:val="20"/>
              </w:rPr>
              <w:t>受审核方位于：</w:t>
            </w:r>
            <w:r>
              <w:rPr>
                <w:rFonts w:hint="eastAsia"/>
                <w:lang w:eastAsia="zh-CN"/>
              </w:rPr>
              <w:t>浙江省德清县中科卫星应用大厦17楼</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pacing w:val="-10"/>
                <w:sz w:val="20"/>
                <w:szCs w:val="20"/>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2052" w:type="dxa"/>
            <w:vMerge w:val="continue"/>
          </w:tcPr>
          <w:p>
            <w:pPr>
              <w:rPr>
                <w:rFonts w:ascii="宋体"/>
                <w:color w:val="000000"/>
                <w:sz w:val="20"/>
                <w:szCs w:val="20"/>
              </w:rPr>
            </w:pPr>
          </w:p>
        </w:tc>
        <w:tc>
          <w:tcPr>
            <w:tcW w:w="7427" w:type="dxa"/>
            <w:gridSpan w:val="3"/>
          </w:tcPr>
          <w:p>
            <w:pPr>
              <w:rPr>
                <w:rFonts w:hint="default" w:ascii="宋体" w:eastAsia="宋体"/>
                <w:color w:val="000000"/>
                <w:spacing w:val="-10"/>
                <w:sz w:val="20"/>
                <w:szCs w:val="20"/>
                <w:lang w:val="en-US" w:eastAsia="zh-CN"/>
              </w:rPr>
            </w:pPr>
            <w:r>
              <w:rPr>
                <w:rFonts w:hint="eastAsia" w:ascii="宋体"/>
                <w:color w:val="000000"/>
                <w:sz w:val="20"/>
                <w:szCs w:val="20"/>
              </w:rPr>
              <w:t>如不一致，请简述不一致情况：</w:t>
            </w:r>
            <w:r>
              <w:rPr>
                <w:rFonts w:hint="eastAsia" w:ascii="宋体" w:hAnsi="宋体"/>
                <w:szCs w:val="21"/>
              </w:rPr>
              <w:t>智能高效能源站节能管控系统</w:t>
            </w:r>
            <w:r>
              <w:rPr>
                <w:rFonts w:hint="eastAsia" w:ascii="宋体" w:hAnsi="宋体"/>
                <w:szCs w:val="21"/>
                <w:lang w:val="en-US" w:eastAsia="zh-CN"/>
              </w:rPr>
              <w:t>尚处研发阶段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环境执行标准：中华人民共和国环境保护法等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执行标准：中华人民共和国安全生产法等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color w:val="000000"/>
                <w:sz w:val="20"/>
                <w:szCs w:val="20"/>
              </w:rPr>
              <w:t>产品生产工艺</w:t>
            </w:r>
            <w:r>
              <w:rPr>
                <w:rFonts w:ascii="宋体"/>
                <w:color w:val="000000"/>
                <w:sz w:val="20"/>
                <w:szCs w:val="20"/>
              </w:rPr>
              <w:t>/</w:t>
            </w:r>
          </w:p>
          <w:p>
            <w:pPr>
              <w:rPr>
                <w:rFonts w:ascii="宋体"/>
                <w:color w:val="000000"/>
                <w:sz w:val="20"/>
                <w:szCs w:val="20"/>
              </w:rPr>
            </w:pPr>
            <w:r>
              <w:rPr>
                <w:rFonts w:hint="eastAsia" w:ascii="宋体"/>
                <w:color w:val="000000"/>
                <w:sz w:val="20"/>
                <w:szCs w:val="20"/>
              </w:rPr>
              <w:t>服务提供流程</w:t>
            </w:r>
          </w:p>
        </w:tc>
        <w:tc>
          <w:tcPr>
            <w:tcW w:w="7427" w:type="dxa"/>
          </w:tcPr>
          <w:p>
            <w:pPr>
              <w:ind w:firstLine="400" w:firstLineChars="200"/>
              <w:rPr>
                <w:rFonts w:ascii="宋体"/>
                <w:sz w:val="20"/>
                <w:szCs w:val="20"/>
              </w:rPr>
            </w:pPr>
            <w:r>
              <w:rPr>
                <w:rFonts w:hint="eastAsia" w:ascii="宋体"/>
                <w:sz w:val="20"/>
                <w:szCs w:val="20"/>
              </w:rPr>
              <w:t>项目情况调查、客户沟通--分析汇总、决策--进入项目跟踪阶段--进入投标报价阶段--如中标--与产品厂家确认供货周期、交付等--签订合同—采购产品—加工--检验--产品交付--验收--客户接收确认。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z w:val="20"/>
                <w:szCs w:val="20"/>
              </w:rPr>
            </w:pPr>
            <w:r>
              <w:rPr>
                <w:rFonts w:hint="eastAsia" w:ascii="宋体"/>
                <w:color w:val="000000"/>
                <w:sz w:val="20"/>
                <w:szCs w:val="20"/>
              </w:rPr>
              <w:t>关键过程（</w:t>
            </w:r>
            <w:r>
              <w:rPr>
                <w:rFonts w:ascii="宋体"/>
                <w:color w:val="000000"/>
                <w:sz w:val="20"/>
                <w:szCs w:val="20"/>
              </w:rPr>
              <w:t>QMS</w:t>
            </w:r>
            <w:r>
              <w:rPr>
                <w:rFonts w:hint="eastAsia" w:ascii="宋体"/>
                <w:color w:val="000000"/>
                <w:sz w:val="20"/>
                <w:szCs w:val="20"/>
              </w:rPr>
              <w:t>）</w:t>
            </w:r>
          </w:p>
        </w:tc>
        <w:tc>
          <w:tcPr>
            <w:tcW w:w="7427" w:type="dxa"/>
          </w:tcPr>
          <w:p>
            <w:pPr>
              <w:rPr>
                <w:rFonts w:ascii="宋体"/>
                <w:color w:val="000000"/>
                <w:sz w:val="20"/>
                <w:szCs w:val="20"/>
              </w:rPr>
            </w:pPr>
            <w:r>
              <w:rPr>
                <w:rFonts w:hint="eastAsia" w:ascii="宋体"/>
                <w:color w:val="000000"/>
                <w:sz w:val="20"/>
                <w:szCs w:val="20"/>
              </w:rPr>
              <w:t>需验证的过程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针对关键过程建立的控制文件有：《外部提供过程、产品和服务的控制程序》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color w:val="000000"/>
                <w:sz w:val="20"/>
                <w:szCs w:val="20"/>
              </w:rPr>
              <w:t>需要确认过程（</w:t>
            </w:r>
            <w:r>
              <w:rPr>
                <w:rFonts w:ascii="宋体"/>
                <w:color w:val="000000"/>
                <w:sz w:val="20"/>
                <w:szCs w:val="20"/>
              </w:rPr>
              <w:t>QMS</w:t>
            </w:r>
            <w:r>
              <w:rPr>
                <w:rFonts w:hint="eastAsia" w:ascii="宋体"/>
                <w:color w:val="000000"/>
                <w:sz w:val="20"/>
                <w:szCs w:val="20"/>
              </w:rPr>
              <w:t>）</w:t>
            </w:r>
          </w:p>
        </w:tc>
        <w:tc>
          <w:tcPr>
            <w:tcW w:w="7427" w:type="dxa"/>
          </w:tcPr>
          <w:p>
            <w:pPr>
              <w:rPr>
                <w:rFonts w:ascii="宋体"/>
                <w:color w:val="000000"/>
                <w:sz w:val="20"/>
                <w:szCs w:val="20"/>
              </w:rPr>
            </w:pPr>
            <w:r>
              <w:rPr>
                <w:rFonts w:hint="eastAsia" w:asci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是否明确了过程的确认方法□是□否是否明确了过程的确认准则□是□否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color w:val="000000"/>
                <w:sz w:val="20"/>
                <w:szCs w:val="20"/>
              </w:rPr>
              <w:t>外包过程（</w:t>
            </w:r>
            <w:r>
              <w:rPr>
                <w:rFonts w:ascii="宋体"/>
                <w:color w:val="000000"/>
                <w:sz w:val="20"/>
                <w:szCs w:val="20"/>
              </w:rPr>
              <w:t>QMS</w:t>
            </w:r>
            <w:r>
              <w:rPr>
                <w:rFonts w:hint="eastAsia" w:ascii="宋体"/>
                <w:color w:val="000000"/>
                <w:sz w:val="20"/>
                <w:szCs w:val="20"/>
              </w:rPr>
              <w:t>）</w:t>
            </w:r>
          </w:p>
        </w:tc>
        <w:tc>
          <w:tcPr>
            <w:tcW w:w="7427" w:type="dxa"/>
          </w:tcPr>
          <w:p>
            <w:pPr>
              <w:rPr>
                <w:rFonts w:ascii="宋体"/>
                <w:color w:val="000000"/>
                <w:sz w:val="20"/>
                <w:szCs w:val="20"/>
              </w:rPr>
            </w:pPr>
            <w:r>
              <w:rPr>
                <w:rFonts w:hint="eastAsia" w:asci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是否明确了外包过程的控制方法：□是□否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color w:val="000000"/>
                <w:sz w:val="20"/>
                <w:szCs w:val="20"/>
              </w:rPr>
              <w:t>主要设备</w:t>
            </w:r>
          </w:p>
        </w:tc>
        <w:tc>
          <w:tcPr>
            <w:tcW w:w="7427" w:type="dxa"/>
          </w:tcPr>
          <w:p>
            <w:pPr>
              <w:rPr>
                <w:rFonts w:ascii="宋体"/>
                <w:color w:val="000000"/>
                <w:sz w:val="20"/>
                <w:szCs w:val="20"/>
              </w:rPr>
            </w:pPr>
            <w:r>
              <w:rPr>
                <w:rFonts w:hint="eastAsia" w:ascii="宋体"/>
                <w:color w:val="000000"/>
                <w:sz w:val="20"/>
                <w:szCs w:val="20"/>
              </w:rPr>
              <w:t>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特种设备是否按规定检定□是□否（不涉及）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color w:val="000000"/>
                <w:sz w:val="20"/>
                <w:szCs w:val="20"/>
              </w:rPr>
              <w:t>主要监视和测量</w:t>
            </w:r>
          </w:p>
          <w:p>
            <w:pPr>
              <w:rPr>
                <w:rFonts w:ascii="宋体"/>
                <w:color w:val="000000"/>
                <w:sz w:val="20"/>
                <w:szCs w:val="20"/>
              </w:rPr>
            </w:pPr>
            <w:r>
              <w:rPr>
                <w:rFonts w:hint="eastAsia" w:asci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监视和测量设备（请简述主要监视和测量设备）：万能材料试验机、直读光谱仪、硬度计、千分尺、卡尺、压力表等。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hAnsi="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color w:val="000000"/>
                <w:sz w:val="20"/>
                <w:szCs w:val="20"/>
              </w:rPr>
              <w:t>满足产品要求所需</w:t>
            </w:r>
          </w:p>
          <w:p>
            <w:pPr>
              <w:rPr>
                <w:rFonts w:ascii="宋体"/>
                <w:color w:val="000000"/>
                <w:sz w:val="20"/>
                <w:szCs w:val="20"/>
              </w:rPr>
            </w:pPr>
            <w:r>
              <w:rPr>
                <w:rFonts w:hint="eastAsia" w:asci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工作环境无特殊要求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重要环境因素控制情况：（本次审核不涉及）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重要环境因素有：固体废弃物排放和潜在火灾（本次审核不涉及）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针对重要环境因素建立了运行控制程序：（本次审核不涉及）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针对重要环境因素是否明确了监视和测量的要求：（本次审核不涉及）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hAnsi="宋体"/>
                <w:color w:val="000000"/>
                <w:sz w:val="20"/>
                <w:szCs w:val="20"/>
              </w:rPr>
              <w:t>■</w:t>
            </w:r>
            <w:r>
              <w:rPr>
                <w:rFonts w:hint="eastAsia" w:ascii="宋体"/>
                <w:color w:val="000000"/>
                <w:sz w:val="20"/>
                <w:szCs w:val="20"/>
              </w:rPr>
              <w:t>是□否，识别是否充分</w:t>
            </w:r>
            <w:r>
              <w:rPr>
                <w:rFonts w:hint="eastAsia" w:ascii="宋体" w:hAnsi="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hAnsi="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hAnsi="宋体"/>
                <w:color w:val="000000"/>
                <w:sz w:val="20"/>
                <w:szCs w:val="20"/>
              </w:rPr>
              <w:t>■</w:t>
            </w:r>
            <w:r>
              <w:rPr>
                <w:rFonts w:hint="eastAsia" w:ascii="宋体"/>
                <w:color w:val="000000"/>
                <w:sz w:val="20"/>
                <w:szCs w:val="20"/>
              </w:rPr>
              <w:t>是□否</w:t>
            </w:r>
            <w:r>
              <w:rPr>
                <w:rFonts w:hint="eastAsia" w:ascii="宋体" w:hAnsi="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应急预案有：《火灾应急预案》等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不可接受风险有：火灾、交通伤害。电击等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针对不可接受风险建立了运行控制程序：《危险源和环境因素辨识、评价与控制管理程序》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针对不可接受风险是否明确了监视和测量的要求：定期或不定期检查</w:t>
            </w:r>
            <w:r>
              <w:rPr>
                <w:rFonts w:hint="eastAsia" w:ascii="宋体" w:hAnsi="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hAnsi="宋体"/>
                <w:color w:val="000000"/>
                <w:sz w:val="20"/>
                <w:szCs w:val="20"/>
              </w:rPr>
              <w:t>■</w:t>
            </w:r>
            <w:r>
              <w:rPr>
                <w:rFonts w:hint="eastAsia" w:ascii="宋体"/>
                <w:color w:val="000000"/>
                <w:sz w:val="20"/>
                <w:szCs w:val="20"/>
              </w:rPr>
              <w:t>是□否，识别是否充分</w:t>
            </w:r>
            <w:r>
              <w:rPr>
                <w:rFonts w:hint="eastAsia" w:ascii="宋体" w:hAnsi="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hAnsi="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hAnsi="宋体"/>
                <w:color w:val="000000"/>
                <w:sz w:val="20"/>
                <w:szCs w:val="20"/>
              </w:rPr>
              <w:t>■</w:t>
            </w:r>
            <w:r>
              <w:rPr>
                <w:rFonts w:hint="eastAsia" w:ascii="宋体"/>
                <w:color w:val="000000"/>
                <w:sz w:val="20"/>
                <w:szCs w:val="20"/>
              </w:rPr>
              <w:t>是□否</w:t>
            </w:r>
            <w:r>
              <w:rPr>
                <w:rFonts w:hint="eastAsia" w:ascii="宋体" w:hAnsi="宋体"/>
                <w:color w:val="000000"/>
                <w:sz w:val="20"/>
                <w:szCs w:val="20"/>
              </w:rPr>
              <w:t>■</w:t>
            </w:r>
            <w:r>
              <w:rPr>
                <w:rFonts w:hint="eastAsia" w:ascii="宋体"/>
                <w:color w:val="000000"/>
                <w:sz w:val="20"/>
                <w:szCs w:val="20"/>
              </w:rPr>
              <w:t>充分□需完善</w:t>
            </w:r>
          </w:p>
        </w:tc>
      </w:tr>
    </w:tbl>
    <w:p>
      <w:pPr>
        <w:spacing w:beforeLines="50"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组织员工人数：2</w:t>
            </w:r>
            <w:r>
              <w:rPr>
                <w:rFonts w:hint="eastAsia" w:ascii="宋体"/>
                <w:color w:val="000000"/>
                <w:sz w:val="20"/>
                <w:szCs w:val="20"/>
                <w:lang w:val="en-US" w:eastAsia="zh-CN"/>
              </w:rPr>
              <w:t>0</w:t>
            </w:r>
            <w:r>
              <w:rPr>
                <w:rFonts w:hint="eastAsia" w:ascii="宋体"/>
                <w:color w:val="000000"/>
                <w:sz w:val="20"/>
                <w:szCs w:val="20"/>
              </w:rPr>
              <w:t>人，其中管理人员：8人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▲依据场所分布、经营地距离生产现场5.7公里</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360" w:lineRule="auto"/>
              <w:rPr>
                <w:rFonts w:ascii="宋体"/>
                <w:b/>
                <w:color w:val="000000"/>
                <w:szCs w:val="21"/>
              </w:rPr>
            </w:pPr>
            <w:r>
              <w:rPr>
                <w:rFonts w:hint="eastAsia" w:ascii="宋体" w:hAnsi="宋体"/>
                <w:color w:val="000000"/>
                <w:spacing w:val="-1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重点审核部门：生产技术部</w:t>
            </w:r>
          </w:p>
          <w:p>
            <w:pPr>
              <w:spacing w:line="360" w:lineRule="auto"/>
              <w:rPr>
                <w:rFonts w:ascii="宋体"/>
                <w:b/>
                <w:color w:val="000000"/>
                <w:sz w:val="20"/>
                <w:szCs w:val="20"/>
              </w:rPr>
            </w:pPr>
            <w:r>
              <w:rPr>
                <w:rFonts w:hint="eastAsia" w:ascii="宋体" w:hAnsi="宋体"/>
                <w:b/>
                <w:color w:val="000000"/>
                <w:sz w:val="20"/>
                <w:szCs w:val="20"/>
              </w:rPr>
              <w:t>重点审核过程：产品实现过程、检验过程</w:t>
            </w:r>
          </w:p>
          <w:p>
            <w:pPr>
              <w:spacing w:line="360" w:lineRule="auto"/>
              <w:rPr>
                <w:rFonts w:ascii="宋体"/>
                <w:b/>
                <w:color w:val="000000"/>
                <w:sz w:val="20"/>
                <w:szCs w:val="20"/>
              </w:rPr>
            </w:pPr>
            <w:r>
              <w:rPr>
                <w:rFonts w:hint="eastAsia" w:ascii="宋体" w:hAnsi="宋体"/>
                <w:b/>
                <w:color w:val="000000"/>
                <w:sz w:val="20"/>
                <w:szCs w:val="20"/>
              </w:rPr>
              <w:t>重点审核场所：生产现场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重点审核部门：生产技术部</w:t>
            </w:r>
          </w:p>
          <w:p>
            <w:pPr>
              <w:spacing w:line="360" w:lineRule="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生产现场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rPr>
              <w:t>已经策划</w:t>
            </w:r>
            <w:r>
              <w:rPr>
                <w:rFonts w:hint="eastAsia" w:ascii="宋体" w:hAnsi="宋体"/>
                <w:b/>
                <w:color w:val="000000"/>
                <w:sz w:val="20"/>
                <w:szCs w:val="20"/>
                <w:lang w:val="en-US" w:eastAsia="zh-CN"/>
              </w:rPr>
              <w:t>2021年3月10-11日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rPr>
              <w:t xml:space="preserve"> 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了解内审结论是什么？基本有效，满足要求，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rPr>
              <w:t>已经策划</w:t>
            </w:r>
            <w:r>
              <w:rPr>
                <w:rFonts w:hint="eastAsia" w:ascii="宋体" w:hAnsi="宋体"/>
                <w:b/>
                <w:color w:val="000000"/>
                <w:sz w:val="20"/>
                <w:szCs w:val="20"/>
                <w:lang w:val="en-US" w:eastAsia="zh-CN"/>
              </w:rPr>
              <w:t xml:space="preserve"> 2021年3月26日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
                <w:color w:val="000000"/>
                <w:sz w:val="20"/>
                <w:szCs w:val="20"/>
              </w:rPr>
              <w:t>有效性、符合性、充分性，满足要求。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r>
              <w:rPr>
                <w:rFonts w:hint="eastAsia" w:ascii="宋体"/>
                <w:b/>
                <w:color w:val="000000"/>
                <w:szCs w:val="21"/>
              </w:rPr>
              <w:t>做好准备。</w:t>
            </w:r>
          </w:p>
        </w:tc>
      </w:tr>
    </w:tbl>
    <w:p>
      <w:pPr>
        <w:spacing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0" w:firstLineChars="100"/>
        <w:rPr>
          <w:rFonts w:ascii="宋体"/>
          <w:b/>
          <w:color w:val="000000"/>
          <w:sz w:val="20"/>
          <w:szCs w:val="20"/>
        </w:rPr>
      </w:pPr>
      <w:r>
        <w:rPr>
          <w:rFonts w:hint="eastAsia" w:ascii="宋体" w:hAnsi="宋体"/>
          <w:color w:val="000000"/>
          <w:sz w:val="20"/>
          <w:szCs w:val="20"/>
        </w:rPr>
        <w:sym w:font="Wingdings 2" w:char="0052"/>
      </w:r>
      <w:r>
        <w:rPr>
          <w:rFonts w:hint="eastAsia" w:ascii="宋体" w:hAnsi="宋体"/>
          <w:b/>
          <w:color w:val="000000"/>
          <w:sz w:val="20"/>
          <w:szCs w:val="20"/>
        </w:rPr>
        <w:t>范围无变化见初定的管理体系认证范围：</w:t>
      </w:r>
    </w:p>
    <w:p>
      <w:pPr>
        <w:spacing w:line="300" w:lineRule="auto"/>
        <w:ind w:firstLine="181" w:firstLineChars="100"/>
        <w:rPr>
          <w:rFonts w:hint="eastAsia" w:ascii="宋体" w:hAnsi="宋体"/>
          <w:b/>
          <w:color w:val="000000"/>
          <w:sz w:val="20"/>
          <w:szCs w:val="20"/>
        </w:rPr>
      </w:pPr>
      <w:r>
        <w:rPr>
          <w:rFonts w:hint="eastAsia" w:ascii="宋体" w:hAnsi="宋体"/>
          <w:b/>
          <w:color w:val="000000"/>
          <w:spacing w:val="-10"/>
          <w:sz w:val="20"/>
          <w:szCs w:val="20"/>
          <w:lang w:val="de-DE"/>
        </w:rPr>
        <w:sym w:font="Wingdings 2" w:char="0052"/>
      </w: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装配式排烟风管产品的销售服务所涉及场所的相关环境管理活动</w:t>
      </w:r>
    </w:p>
    <w:p>
      <w:pPr>
        <w:spacing w:beforeLines="50" w:afterLines="20" w:line="360" w:lineRule="exact"/>
        <w:ind w:firstLine="301" w:firstLineChars="150"/>
        <w:rPr>
          <w:rFonts w:ascii="宋体"/>
          <w:b/>
          <w:bCs/>
          <w:color w:val="000000"/>
          <w:sz w:val="26"/>
          <w:szCs w:val="26"/>
        </w:rPr>
      </w:pPr>
      <w:r>
        <w:rPr>
          <w:rFonts w:ascii="宋体" w:hAnsi="宋体"/>
          <w:b/>
          <w:color w:val="000000"/>
          <w:sz w:val="20"/>
          <w:szCs w:val="20"/>
        </w:rPr>
        <w:t>动</w:t>
      </w:r>
      <w:r>
        <w:rPr>
          <w:rFonts w:hint="eastAsia" w:ascii="宋体" w:hAnsi="宋体"/>
          <w:b/>
          <w:bCs/>
          <w:color w:val="000000"/>
          <w:sz w:val="26"/>
          <w:szCs w:val="26"/>
        </w:rPr>
        <w:t>十六、审核组签字</w:t>
      </w:r>
    </w:p>
    <w:p>
      <w:pPr>
        <w:spacing w:line="400" w:lineRule="exact"/>
        <w:ind w:firstLine="843" w:firstLineChars="400"/>
        <w:rPr>
          <w:rFonts w:ascii="宋体" w:hAnsi="宋体"/>
          <w:b/>
          <w:color w:val="000000"/>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hAnsi="宋体"/>
          <w:b/>
          <w:color w:val="000000"/>
        </w:rPr>
        <w:t>李凤仪</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:20</w:t>
      </w:r>
      <w:r>
        <w:rPr>
          <w:rFonts w:hint="eastAsia" w:ascii="宋体" w:hAnsi="宋体"/>
          <w:b/>
          <w:color w:val="000000"/>
          <w:lang w:val="en-US" w:eastAsia="zh-CN"/>
        </w:rPr>
        <w:t>21</w:t>
      </w:r>
      <w:r>
        <w:rPr>
          <w:rFonts w:hint="eastAsia" w:ascii="宋体" w:hAnsi="宋体"/>
          <w:b/>
          <w:color w:val="000000"/>
        </w:rPr>
        <w:t>年</w:t>
      </w:r>
      <w:r>
        <w:rPr>
          <w:rFonts w:hint="eastAsia" w:ascii="宋体" w:hAnsi="宋体"/>
          <w:b/>
          <w:color w:val="000000"/>
          <w:lang w:val="en-US" w:eastAsia="zh-CN"/>
        </w:rPr>
        <w:t>4</w:t>
      </w:r>
      <w:r>
        <w:rPr>
          <w:rFonts w:hint="eastAsia" w:ascii="宋体" w:hAnsi="宋体"/>
          <w:b/>
          <w:color w:val="000000"/>
        </w:rPr>
        <w:t>月</w:t>
      </w:r>
      <w:r>
        <w:rPr>
          <w:rFonts w:hint="eastAsia" w:ascii="宋体" w:hAnsi="宋体"/>
          <w:b/>
          <w:color w:val="000000"/>
          <w:lang w:val="en-US" w:eastAsia="zh-CN"/>
        </w:rPr>
        <w:t>21</w:t>
      </w:r>
      <w:r>
        <w:rPr>
          <w:rFonts w:hint="eastAsia" w:ascii="宋体" w:hAnsi="宋体"/>
          <w:b/>
          <w:color w:val="000000"/>
        </w:rPr>
        <w:t>日</w:t>
      </w:r>
    </w:p>
    <w:p>
      <w:pPr>
        <w:tabs>
          <w:tab w:val="left" w:pos="645"/>
        </w:tabs>
        <w:spacing w:afterLines="50" w:line="360" w:lineRule="exact"/>
        <w:ind w:firstLine="261" w:firstLineChars="100"/>
        <w:rPr>
          <w:rFonts w:ascii="宋体" w:hAnsi="宋体"/>
          <w:b/>
          <w:bCs/>
          <w:color w:val="000000"/>
          <w:sz w:val="26"/>
          <w:szCs w:val="26"/>
        </w:rPr>
      </w:pPr>
    </w:p>
    <w:p>
      <w:pPr>
        <w:tabs>
          <w:tab w:val="left" w:pos="645"/>
        </w:tabs>
        <w:spacing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Lines="50"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hAns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tabs>
          <w:tab w:val="left" w:pos="430"/>
          <w:tab w:val="left" w:pos="645"/>
        </w:tabs>
        <w:spacing w:line="360" w:lineRule="exact"/>
        <w:ind w:left="283" w:leftChars="135" w:firstLine="217" w:firstLineChars="108"/>
        <w:rPr>
          <w:rFonts w:ascii="宋体" w:hAnsi="宋体"/>
          <w:b/>
          <w:bCs/>
          <w:color w:val="000000"/>
          <w:sz w:val="20"/>
          <w:szCs w:val="20"/>
        </w:rPr>
      </w:pPr>
    </w:p>
    <w:p>
      <w:pPr>
        <w:tabs>
          <w:tab w:val="left" w:pos="430"/>
          <w:tab w:val="left" w:pos="645"/>
        </w:tabs>
        <w:spacing w:line="360" w:lineRule="exact"/>
        <w:ind w:left="283" w:leftChars="135" w:firstLine="217" w:firstLineChars="108"/>
        <w:rPr>
          <w:rFonts w:ascii="宋体" w:hAnsi="宋体"/>
          <w:b/>
          <w:bCs/>
          <w:color w:val="000000"/>
          <w:sz w:val="20"/>
          <w:szCs w:val="20"/>
        </w:rPr>
      </w:pPr>
    </w:p>
    <w:p>
      <w:pPr>
        <w:tabs>
          <w:tab w:val="left" w:pos="430"/>
          <w:tab w:val="left" w:pos="645"/>
        </w:tabs>
        <w:spacing w:line="360" w:lineRule="exact"/>
        <w:ind w:left="283" w:leftChars="135" w:firstLine="217" w:firstLineChars="108"/>
        <w:rPr>
          <w:rFonts w:ascii="宋体" w:hAnsi="宋体"/>
          <w:b/>
          <w:bCs/>
          <w:color w:val="000000"/>
          <w:sz w:val="20"/>
          <w:szCs w:val="20"/>
        </w:rPr>
      </w:pP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1"/>
          <w:szCs w:val="21"/>
          <w:u w:val="none"/>
        </w:rPr>
      </w:pPr>
      <w:r>
        <w:rPr>
          <w:rFonts w:hint="eastAsia" w:eastAsia="隶书"/>
          <w:color w:val="000000"/>
          <w:sz w:val="28"/>
          <w:szCs w:val="28"/>
        </w:rPr>
        <w:t>受审核方：</w:t>
      </w:r>
      <w:r>
        <w:rPr>
          <w:rFonts w:ascii="楷体" w:hAnsi="楷体" w:eastAsia="楷体"/>
          <w:b/>
          <w:color w:val="000000"/>
          <w:sz w:val="21"/>
          <w:szCs w:val="21"/>
          <w:u w:val="none"/>
        </w:rPr>
        <w:t>浙江中创节能科技有限公司</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rightChars="0"/>
              <w:jc w:val="both"/>
              <w:rPr>
                <w:rFonts w:ascii="宋体"/>
                <w:color w:val="000000"/>
                <w:sz w:val="24"/>
                <w:szCs w:val="24"/>
              </w:rPr>
            </w:pPr>
            <w:r>
              <w:rPr>
                <w:rFonts w:hint="eastAsia" w:ascii="宋体"/>
                <w:color w:val="000000"/>
                <w:sz w:val="24"/>
                <w:szCs w:val="24"/>
                <w:lang w:val="en-US" w:eastAsia="zh-CN"/>
              </w:rPr>
              <w:t>1</w:t>
            </w:r>
          </w:p>
        </w:tc>
        <w:tc>
          <w:tcPr>
            <w:tcW w:w="5681" w:type="dxa"/>
            <w:vAlign w:val="center"/>
          </w:tcPr>
          <w:p>
            <w:pPr>
              <w:pStyle w:val="4"/>
              <w:pBdr>
                <w:bottom w:val="none" w:color="auto" w:sz="0" w:space="0"/>
              </w:pBdr>
              <w:tabs>
                <w:tab w:val="center" w:pos="5737"/>
                <w:tab w:val="clear" w:pos="4153"/>
              </w:tabs>
              <w:jc w:val="both"/>
              <w:rPr>
                <w:rFonts w:hint="eastAsia" w:eastAsia="宋体"/>
                <w:color w:val="000000"/>
                <w:sz w:val="24"/>
                <w:szCs w:val="24"/>
                <w:lang w:eastAsia="zh-CN"/>
              </w:rPr>
            </w:pPr>
            <w:r>
              <w:rPr>
                <w:rFonts w:hint="eastAsia"/>
                <w:color w:val="000000"/>
                <w:sz w:val="24"/>
                <w:szCs w:val="24"/>
                <w:lang w:val="en-US" w:eastAsia="zh-CN"/>
              </w:rPr>
              <w:t>提供环境因素辨识辨识未考虑生产现场</w:t>
            </w:r>
          </w:p>
        </w:tc>
        <w:tc>
          <w:tcPr>
            <w:tcW w:w="1688" w:type="dxa"/>
            <w:vAlign w:val="center"/>
          </w:tcPr>
          <w:p>
            <w:pPr>
              <w:pStyle w:val="4"/>
              <w:pBdr>
                <w:bottom w:val="none" w:color="auto" w:sz="0" w:space="0"/>
              </w:pBdr>
              <w:ind w:right="600" w:rightChars="0"/>
              <w:jc w:val="both"/>
              <w:rPr>
                <w:color w:val="000000"/>
                <w:sz w:val="32"/>
                <w:szCs w:val="32"/>
              </w:rPr>
            </w:pPr>
            <w:r>
              <w:rPr>
                <w:rFonts w:hint="eastAsia"/>
                <w:color w:val="000000"/>
                <w:sz w:val="32"/>
                <w:szCs w:val="32"/>
                <w:lang w:val="en-US" w:eastAsia="zh-CN"/>
              </w:rPr>
              <w:t>GB/T24001-2016</w:t>
            </w:r>
          </w:p>
        </w:tc>
        <w:tc>
          <w:tcPr>
            <w:tcW w:w="1811" w:type="dxa"/>
            <w:vAlign w:val="center"/>
          </w:tcPr>
          <w:p>
            <w:pPr>
              <w:pStyle w:val="4"/>
              <w:pBdr>
                <w:bottom w:val="none" w:color="auto" w:sz="0" w:space="0"/>
              </w:pBdr>
              <w:ind w:right="600" w:rightChars="0"/>
              <w:jc w:val="both"/>
              <w:rPr>
                <w:color w:val="000000"/>
                <w:sz w:val="32"/>
                <w:szCs w:val="32"/>
              </w:rPr>
            </w:pPr>
            <w:r>
              <w:rPr>
                <w:rFonts w:hint="eastAsia"/>
                <w:color w:val="000000"/>
                <w:sz w:val="32"/>
                <w:szCs w:val="32"/>
                <w:lang w:val="en-US" w:eastAsia="zh-CN"/>
              </w:rPr>
              <w:t>E6.1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rightChars="0"/>
              <w:jc w:val="both"/>
              <w:rPr>
                <w:rFonts w:ascii="宋体"/>
                <w:color w:val="000000"/>
                <w:sz w:val="24"/>
                <w:szCs w:val="24"/>
              </w:rPr>
            </w:pPr>
            <w:r>
              <w:rPr>
                <w:rFonts w:hint="eastAsia" w:ascii="宋体"/>
                <w:color w:val="000000"/>
                <w:sz w:val="24"/>
                <w:szCs w:val="24"/>
                <w:lang w:val="en-US" w:eastAsia="zh-CN"/>
              </w:rPr>
              <w:t>2</w:t>
            </w:r>
          </w:p>
        </w:tc>
        <w:tc>
          <w:tcPr>
            <w:tcW w:w="5681" w:type="dxa"/>
            <w:vAlign w:val="center"/>
          </w:tcPr>
          <w:p>
            <w:pPr>
              <w:pStyle w:val="4"/>
              <w:pBdr>
                <w:bottom w:val="none" w:color="auto" w:sz="0" w:space="0"/>
              </w:pBdr>
              <w:tabs>
                <w:tab w:val="center" w:pos="5737"/>
                <w:tab w:val="clear" w:pos="4153"/>
              </w:tabs>
              <w:jc w:val="both"/>
              <w:rPr>
                <w:color w:val="000000"/>
                <w:sz w:val="24"/>
                <w:szCs w:val="24"/>
              </w:rPr>
            </w:pPr>
            <w:r>
              <w:rPr>
                <w:rFonts w:hint="eastAsia"/>
                <w:color w:val="000000"/>
                <w:sz w:val="24"/>
                <w:szCs w:val="24"/>
                <w:lang w:val="en-US" w:eastAsia="zh-CN"/>
              </w:rPr>
              <w:t>人员资质证书提供不完整</w:t>
            </w:r>
          </w:p>
        </w:tc>
        <w:tc>
          <w:tcPr>
            <w:tcW w:w="1688" w:type="dxa"/>
            <w:vAlign w:val="center"/>
          </w:tcPr>
          <w:p>
            <w:pPr>
              <w:pStyle w:val="4"/>
              <w:pBdr>
                <w:bottom w:val="none" w:color="auto" w:sz="0" w:space="0"/>
              </w:pBdr>
              <w:ind w:right="600" w:rightChars="0"/>
              <w:jc w:val="both"/>
              <w:rPr>
                <w:color w:val="000000"/>
                <w:sz w:val="32"/>
                <w:szCs w:val="32"/>
              </w:rPr>
            </w:pPr>
            <w:r>
              <w:rPr>
                <w:rFonts w:hint="eastAsia"/>
                <w:color w:val="000000"/>
                <w:sz w:val="32"/>
                <w:szCs w:val="32"/>
                <w:lang w:val="en-US" w:eastAsia="zh-CN"/>
              </w:rPr>
              <w:t>GB/T24001-2016</w:t>
            </w:r>
          </w:p>
        </w:tc>
        <w:tc>
          <w:tcPr>
            <w:tcW w:w="1811" w:type="dxa"/>
            <w:vAlign w:val="center"/>
          </w:tcPr>
          <w:p>
            <w:pPr>
              <w:pStyle w:val="4"/>
              <w:pBdr>
                <w:bottom w:val="none" w:color="auto" w:sz="0" w:space="0"/>
              </w:pBdr>
              <w:ind w:right="600" w:rightChars="0"/>
              <w:jc w:val="both"/>
              <w:rPr>
                <w:color w:val="000000"/>
                <w:sz w:val="32"/>
                <w:szCs w:val="32"/>
              </w:rPr>
            </w:pPr>
            <w:r>
              <w:rPr>
                <w:rFonts w:hint="eastAsia"/>
                <w:color w:val="000000"/>
                <w:sz w:val="32"/>
                <w:szCs w:val="32"/>
                <w:lang w:val="en-US" w:eastAsia="zh-CN"/>
              </w:rPr>
              <w:t>E7.2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sym w:font="Wingdings 2" w:char="0052"/>
            </w: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A076DC"/>
    <w:rsid w:val="213366B5"/>
    <w:rsid w:val="4CBE5B43"/>
    <w:rsid w:val="695A7564"/>
    <w:rsid w:val="6BD12E91"/>
    <w:rsid w:val="7FC135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李凤仪</cp:lastModifiedBy>
  <dcterms:modified xsi:type="dcterms:W3CDTF">2021-05-18T15:03:20Z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F98878EDEF4C48279050D42B81E6328C</vt:lpwstr>
  </property>
</Properties>
</file>