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pPr w:leftFromText="180" w:rightFromText="180" w:vertAnchor="text" w:tblpX="58" w:tblpY="1"/>
        <w:tblOverlap w:val="never"/>
        <w:tblW w:w="14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215"/>
        <w:gridCol w:w="1010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52" w:type="dxa"/>
            <w:vMerge w:val="restart"/>
            <w:vAlign w:val="center"/>
          </w:tcPr>
          <w:p>
            <w:pPr>
              <w:spacing w:before="120"/>
              <w:jc w:val="center"/>
              <w:rPr>
                <w:rFonts w:ascii="宋体" w:hAnsi="宋体" w:cs="宋体"/>
                <w:szCs w:val="21"/>
              </w:rPr>
            </w:pPr>
            <w:r>
              <w:rPr>
                <w:rFonts w:hint="eastAsia" w:ascii="宋体" w:hAnsi="宋体" w:cs="宋体"/>
                <w:szCs w:val="21"/>
              </w:rPr>
              <w:t>过程与活动、</w:t>
            </w:r>
          </w:p>
          <w:p>
            <w:pPr>
              <w:jc w:val="center"/>
              <w:rPr>
                <w:rFonts w:ascii="宋体" w:hAnsi="宋体" w:cs="宋体"/>
                <w:szCs w:val="21"/>
              </w:rPr>
            </w:pPr>
            <w:r>
              <w:rPr>
                <w:rFonts w:hint="eastAsia" w:ascii="宋体" w:hAnsi="宋体" w:cs="宋体"/>
                <w:szCs w:val="21"/>
              </w:rPr>
              <w:t>抽样计划</w:t>
            </w:r>
          </w:p>
        </w:tc>
        <w:tc>
          <w:tcPr>
            <w:tcW w:w="1215" w:type="dxa"/>
            <w:vMerge w:val="restart"/>
            <w:vAlign w:val="center"/>
          </w:tcPr>
          <w:p>
            <w:pPr>
              <w:rPr>
                <w:rFonts w:ascii="宋体" w:hAnsi="宋体" w:cs="宋体"/>
                <w:szCs w:val="21"/>
              </w:rPr>
            </w:pPr>
            <w:r>
              <w:rPr>
                <w:rFonts w:hint="eastAsia" w:ascii="宋体" w:hAnsi="宋体" w:cs="宋体"/>
                <w:szCs w:val="21"/>
              </w:rPr>
              <w:t>涉及条款</w:t>
            </w:r>
          </w:p>
        </w:tc>
        <w:tc>
          <w:tcPr>
            <w:tcW w:w="10100" w:type="dxa"/>
            <w:vAlign w:val="center"/>
          </w:tcPr>
          <w:p>
            <w:pPr>
              <w:rPr>
                <w:rFonts w:ascii="宋体" w:hAnsi="宋体" w:cs="宋体"/>
                <w:szCs w:val="21"/>
              </w:rPr>
            </w:pPr>
            <w:r>
              <w:rPr>
                <w:rFonts w:hint="eastAsia" w:ascii="宋体" w:hAnsi="宋体" w:cs="宋体"/>
                <w:szCs w:val="21"/>
              </w:rPr>
              <w:t xml:space="preserve">受审核部门：生产部     </w:t>
            </w:r>
            <w:r>
              <w:rPr>
                <w:rFonts w:hint="eastAsia" w:ascii="宋体" w:hAnsi="宋体" w:cs="宋体"/>
                <w:szCs w:val="21"/>
                <w:lang w:val="en-US" w:eastAsia="zh-CN"/>
              </w:rPr>
              <w:t xml:space="preserve">    </w:t>
            </w:r>
            <w:r>
              <w:rPr>
                <w:rFonts w:hint="eastAsia" w:ascii="宋体" w:hAnsi="宋体" w:cs="宋体"/>
                <w:szCs w:val="21"/>
              </w:rPr>
              <w:t xml:space="preserve">主管领导：吴义林 </w:t>
            </w:r>
            <w:r>
              <w:rPr>
                <w:rFonts w:hint="eastAsia" w:ascii="宋体" w:hAnsi="宋体" w:cs="宋体"/>
                <w:szCs w:val="21"/>
                <w:lang w:val="en-US" w:eastAsia="zh-CN"/>
              </w:rPr>
              <w:t xml:space="preserve">      </w:t>
            </w:r>
            <w:r>
              <w:rPr>
                <w:rFonts w:hint="eastAsia" w:ascii="宋体" w:hAnsi="宋体" w:cs="宋体"/>
                <w:szCs w:val="21"/>
              </w:rPr>
              <w:t xml:space="preserve"> 远程审核</w:t>
            </w:r>
          </w:p>
        </w:tc>
        <w:tc>
          <w:tcPr>
            <w:tcW w:w="1585" w:type="dxa"/>
            <w:vMerge w:val="restart"/>
            <w:vAlign w:val="center"/>
          </w:tcPr>
          <w:p>
            <w:pPr>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52" w:type="dxa"/>
            <w:vMerge w:val="continue"/>
            <w:vAlign w:val="center"/>
          </w:tcPr>
          <w:p>
            <w:pPr>
              <w:rPr>
                <w:rFonts w:ascii="宋体" w:hAnsi="宋体" w:cs="宋体"/>
                <w:szCs w:val="21"/>
              </w:rPr>
            </w:pPr>
          </w:p>
        </w:tc>
        <w:tc>
          <w:tcPr>
            <w:tcW w:w="1215" w:type="dxa"/>
            <w:vMerge w:val="continue"/>
            <w:vAlign w:val="center"/>
          </w:tcPr>
          <w:p>
            <w:pPr>
              <w:rPr>
                <w:rFonts w:ascii="宋体" w:hAnsi="宋体" w:cs="宋体"/>
                <w:szCs w:val="21"/>
              </w:rPr>
            </w:pPr>
          </w:p>
        </w:tc>
        <w:tc>
          <w:tcPr>
            <w:tcW w:w="10100" w:type="dxa"/>
            <w:vAlign w:val="center"/>
          </w:tcPr>
          <w:p>
            <w:pPr>
              <w:spacing w:before="120"/>
              <w:rPr>
                <w:rFonts w:hint="eastAsia"/>
              </w:rPr>
            </w:pPr>
            <w:r>
              <w:rPr>
                <w:rFonts w:hint="eastAsia"/>
                <w:color w:val="0000FF"/>
                <w:lang w:val="en-US" w:eastAsia="zh-CN"/>
              </w:rPr>
              <w:t>远程审核</w:t>
            </w:r>
            <w:r>
              <w:rPr>
                <w:rFonts w:hint="eastAsia"/>
                <w:lang w:val="en-US" w:eastAsia="zh-CN"/>
              </w:rPr>
              <w:t>：</w:t>
            </w:r>
            <w:r>
              <w:rPr>
                <w:rFonts w:hint="eastAsia"/>
              </w:rPr>
              <w:t xml:space="preserve">审核员：夏楠楠 </w:t>
            </w:r>
            <w:r>
              <w:t xml:space="preserve"> </w:t>
            </w:r>
            <w:r>
              <w:rPr>
                <w:rFonts w:hint="eastAsia"/>
              </w:rPr>
              <w:t>技术专家：白玉成        审核时间：2021.1.19</w:t>
            </w:r>
          </w:p>
          <w:p>
            <w:pPr>
              <w:pStyle w:val="7"/>
              <w:rPr>
                <w:rFonts w:hint="eastAsia"/>
              </w:rPr>
            </w:pPr>
          </w:p>
          <w:p>
            <w:pPr>
              <w:pStyle w:val="4"/>
              <w:rPr>
                <w:rFonts w:hint="default"/>
                <w:lang w:val="en-US"/>
              </w:rPr>
            </w:pPr>
            <w:r>
              <w:rPr>
                <w:rFonts w:hint="eastAsia"/>
                <w:color w:val="0000FF"/>
                <w:lang w:val="en-US" w:eastAsia="zh-CN"/>
              </w:rPr>
              <w:t xml:space="preserve">补充现场：审核员：肖新龙（Q）   技术专家：白玉成     审核时间：2021-04-25    </w:t>
            </w:r>
            <w:r>
              <w:rPr>
                <w:rFonts w:hint="eastAsia"/>
                <w:color w:val="1739E7"/>
                <w:sz w:val="21"/>
                <w:szCs w:val="21"/>
                <w:lang w:val="en-US" w:eastAsia="zh-CN"/>
              </w:rPr>
              <w:t>陪同人员：</w:t>
            </w:r>
            <w:bookmarkStart w:id="0" w:name="联系人"/>
            <w:r>
              <w:rPr>
                <w:rFonts w:hint="eastAsia"/>
                <w:color w:val="1739E7"/>
                <w:sz w:val="21"/>
                <w:szCs w:val="21"/>
                <w:lang w:val="en-US" w:eastAsia="zh-CN"/>
              </w:rPr>
              <w:t>宋继晟</w:t>
            </w:r>
            <w:bookmarkEnd w:id="0"/>
          </w:p>
        </w:tc>
        <w:tc>
          <w:tcPr>
            <w:tcW w:w="1585" w:type="dxa"/>
            <w:vMerge w:val="continue"/>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trPr>
        <w:tc>
          <w:tcPr>
            <w:tcW w:w="1752" w:type="dxa"/>
            <w:vMerge w:val="continue"/>
            <w:vAlign w:val="center"/>
          </w:tcPr>
          <w:p>
            <w:pPr>
              <w:rPr>
                <w:rFonts w:ascii="宋体" w:hAnsi="宋体" w:cs="宋体"/>
                <w:szCs w:val="21"/>
              </w:rPr>
            </w:pPr>
          </w:p>
        </w:tc>
        <w:tc>
          <w:tcPr>
            <w:tcW w:w="1215" w:type="dxa"/>
            <w:vMerge w:val="continue"/>
            <w:vAlign w:val="center"/>
          </w:tcPr>
          <w:p>
            <w:pPr>
              <w:rPr>
                <w:rFonts w:ascii="宋体" w:hAnsi="宋体" w:cs="宋体"/>
                <w:szCs w:val="21"/>
              </w:rPr>
            </w:pPr>
          </w:p>
        </w:tc>
        <w:tc>
          <w:tcPr>
            <w:tcW w:w="10100" w:type="dxa"/>
            <w:vAlign w:val="center"/>
          </w:tcPr>
          <w:p>
            <w:pPr>
              <w:rPr>
                <w:rFonts w:hint="eastAsia" w:ascii="宋体" w:hAnsi="宋体" w:eastAsia="宋体" w:cs="宋体"/>
                <w:szCs w:val="21"/>
                <w:lang w:eastAsia="zh-CN"/>
              </w:rPr>
            </w:pPr>
            <w:r>
              <w:rPr>
                <w:rFonts w:hint="eastAsia" w:ascii="宋体" w:hAnsi="宋体" w:cs="宋体"/>
                <w:szCs w:val="21"/>
              </w:rPr>
              <w:t>审核条款</w:t>
            </w:r>
            <w:r>
              <w:rPr>
                <w:rFonts w:hint="eastAsia" w:ascii="宋体" w:hAnsi="宋体" w:cs="宋体"/>
                <w:szCs w:val="21"/>
                <w:lang w:eastAsia="zh-CN"/>
              </w:rPr>
              <w:t>：</w:t>
            </w:r>
          </w:p>
          <w:p>
            <w:pPr>
              <w:rPr>
                <w:rFonts w:ascii="宋体" w:hAnsi="宋体" w:cs="宋体"/>
                <w:szCs w:val="21"/>
              </w:rPr>
            </w:pPr>
            <w:r>
              <w:rPr>
                <w:rFonts w:hint="eastAsia" w:ascii="宋体" w:hAnsi="宋体" w:cs="宋体"/>
                <w:szCs w:val="21"/>
              </w:rPr>
              <w:t>生产部：组织的岗位、职责权限；环境因素/危险源识别评价；目标、方案；基础设施；运行环境；运行的策划和控制；运行的策划；更改控制；标识和可追溯性；产品防护；不合格品的控制；应急准备和响应Q5.3/6.2/7.1.3/7.1.4/7.1.5/8.1/8.5.1/8.5.2/8.5.4/8.5.6/8.6/8.7</w:t>
            </w:r>
          </w:p>
          <w:p>
            <w:pPr>
              <w:rPr>
                <w:rFonts w:ascii="宋体" w:hAnsi="宋体" w:cs="宋体"/>
                <w:szCs w:val="21"/>
              </w:rPr>
            </w:pPr>
            <w:r>
              <w:rPr>
                <w:rFonts w:hint="eastAsia" w:ascii="宋体" w:hAnsi="宋体" w:cs="宋体"/>
                <w:szCs w:val="21"/>
              </w:rPr>
              <w:t>EO5.3/6.2/6.1.2/6.1.3/8.1/8.2</w:t>
            </w:r>
          </w:p>
        </w:tc>
        <w:tc>
          <w:tcPr>
            <w:tcW w:w="1585" w:type="dxa"/>
            <w:vMerge w:val="continue"/>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52" w:type="dxa"/>
            <w:vAlign w:val="center"/>
          </w:tcPr>
          <w:p>
            <w:pPr>
              <w:rPr>
                <w:rFonts w:ascii="宋体" w:hAnsi="宋体" w:cs="宋体"/>
                <w:szCs w:val="21"/>
              </w:rPr>
            </w:pPr>
            <w:r>
              <w:rPr>
                <w:rFonts w:hint="eastAsia" w:ascii="宋体" w:hAnsi="宋体" w:cs="宋体"/>
                <w:szCs w:val="21"/>
              </w:rPr>
              <w:t>组织的岗位职责、权限</w:t>
            </w:r>
          </w:p>
        </w:tc>
        <w:tc>
          <w:tcPr>
            <w:tcW w:w="1215" w:type="dxa"/>
            <w:vAlign w:val="center"/>
          </w:tcPr>
          <w:p>
            <w:pPr>
              <w:rPr>
                <w:rFonts w:ascii="宋体" w:hAnsi="宋体" w:cs="宋体"/>
                <w:szCs w:val="21"/>
              </w:rPr>
            </w:pPr>
            <w:r>
              <w:rPr>
                <w:rFonts w:hint="eastAsia" w:ascii="宋体" w:hAnsi="宋体" w:cs="宋体"/>
                <w:szCs w:val="21"/>
              </w:rPr>
              <w:t>QEO：5.3</w:t>
            </w:r>
          </w:p>
        </w:tc>
        <w:tc>
          <w:tcPr>
            <w:tcW w:w="10100" w:type="dxa"/>
            <w:vAlign w:val="center"/>
          </w:tcPr>
          <w:p>
            <w:pPr>
              <w:ind w:firstLine="420" w:firstLineChars="200"/>
            </w:pPr>
            <w:r>
              <w:rPr>
                <w:rFonts w:hint="eastAsia"/>
              </w:rPr>
              <w:t>生产部主要作用、职责和权限包括:1）在生产过程中，协调、支持相关部门贯彻管理方针和目标的有效运行，向客户提供合格的产品；</w:t>
            </w:r>
          </w:p>
          <w:p>
            <w:r>
              <w:rPr>
                <w:rFonts w:hint="eastAsia"/>
              </w:rPr>
              <w:t>2）正确贯彻国家有关质量技术标准、技术政策，为产品生产提供有效的技术文件和有关工艺规程、检验标准等；</w:t>
            </w:r>
          </w:p>
          <w:p>
            <w:r>
              <w:rPr>
                <w:rFonts w:hint="eastAsia"/>
              </w:rPr>
              <w:t>3）执行本公司有关质量工作的规定，协助有关质量部门做好管理工作，对生产过程加以控制，保持生产正常运行；</w:t>
            </w:r>
          </w:p>
          <w:p>
            <w:r>
              <w:rPr>
                <w:rFonts w:hint="eastAsia"/>
              </w:rPr>
              <w:t>4）负责本公司的设备管理及产品标识和可追溯性的归口管理工作，引进产品新技术，产品更新和产品技术攻关，并组织实施；</w:t>
            </w:r>
          </w:p>
          <w:p>
            <w:r>
              <w:rPr>
                <w:rFonts w:hint="eastAsia"/>
              </w:rPr>
              <w:t>5）负责向有关领导及相关部门及时传送产品质量信息和对不合格产品评审的归口管理，在发生重大质量事故时，及时报告总经理；</w:t>
            </w:r>
          </w:p>
          <w:p>
            <w:r>
              <w:rPr>
                <w:rFonts w:hint="eastAsia"/>
              </w:rPr>
              <w:t>6）负责组织实施原材料、外购件、外协、半成品直至成品的质量检验工作，并严格执行质量标准，对入库产品要严格标识，不合格原材料拒收或隔离；</w:t>
            </w:r>
          </w:p>
          <w:p>
            <w:r>
              <w:rPr>
                <w:rFonts w:hint="eastAsia"/>
              </w:rPr>
              <w:t>7）负责对产品检验的记录、分析、统计、存档等工作；</w:t>
            </w:r>
          </w:p>
          <w:p>
            <w:r>
              <w:rPr>
                <w:rFonts w:hint="eastAsia"/>
              </w:rPr>
              <w:t>8）负责生产加工过程环境、安全控制。</w:t>
            </w:r>
          </w:p>
          <w:p>
            <w:pPr>
              <w:spacing w:before="93" w:beforeLines="30" w:after="93" w:afterLines="30"/>
              <w:ind w:firstLine="420" w:firstLineChars="200"/>
              <w:rPr>
                <w:rFonts w:hint="eastAsia"/>
              </w:rPr>
            </w:pPr>
            <w:r>
              <w:rPr>
                <w:rFonts w:hint="eastAsia"/>
              </w:rPr>
              <w:t>生产部上述作用和职责、权限基本得到有效沟通和实施。</w:t>
            </w:r>
          </w:p>
          <w:p>
            <w:pPr>
              <w:pStyle w:val="7"/>
              <w:jc w:val="left"/>
              <w:rPr>
                <w:rFonts w:hint="default" w:eastAsia="宋体"/>
                <w:lang w:val="en-US" w:eastAsia="zh-CN"/>
              </w:rPr>
            </w:pPr>
            <w:r>
              <w:rPr>
                <w:rFonts w:hint="eastAsia" w:ascii="宋体" w:hAnsi="宋体" w:cs="宋体"/>
                <w:color w:val="0000FF"/>
                <w:sz w:val="21"/>
                <w:szCs w:val="21"/>
                <w:lang w:val="en-US" w:eastAsia="zh-CN"/>
              </w:rPr>
              <w:t>经补充现场审核确认；Q审核内容与远程审核一致。</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5" w:hRule="atLeast"/>
        </w:trPr>
        <w:tc>
          <w:tcPr>
            <w:tcW w:w="1752" w:type="dxa"/>
            <w:vAlign w:val="center"/>
          </w:tcPr>
          <w:p>
            <w:pPr>
              <w:rPr>
                <w:rFonts w:ascii="宋体" w:hAnsi="宋体" w:cs="宋体"/>
                <w:szCs w:val="21"/>
              </w:rPr>
            </w:pPr>
            <w:r>
              <w:rPr>
                <w:rFonts w:hint="eastAsia" w:ascii="宋体" w:hAnsi="宋体" w:cs="宋体"/>
                <w:szCs w:val="21"/>
              </w:rPr>
              <w:t>目标、方案</w:t>
            </w:r>
          </w:p>
        </w:tc>
        <w:tc>
          <w:tcPr>
            <w:tcW w:w="1215" w:type="dxa"/>
            <w:vAlign w:val="center"/>
          </w:tcPr>
          <w:p>
            <w:pPr>
              <w:rPr>
                <w:rFonts w:ascii="宋体" w:hAnsi="宋体" w:cs="宋体"/>
                <w:szCs w:val="21"/>
              </w:rPr>
            </w:pPr>
            <w:r>
              <w:rPr>
                <w:rFonts w:hint="eastAsia" w:ascii="宋体" w:hAnsi="宋体" w:cs="宋体"/>
                <w:szCs w:val="21"/>
              </w:rPr>
              <w:t>QEO：6.2</w:t>
            </w:r>
          </w:p>
        </w:tc>
        <w:tc>
          <w:tcPr>
            <w:tcW w:w="10100" w:type="dxa"/>
            <w:vAlign w:val="center"/>
          </w:tcPr>
          <w:p>
            <w:pPr>
              <w:spacing w:before="93" w:beforeLines="30" w:after="93" w:afterLines="30"/>
              <w:ind w:firstLine="420" w:firstLineChars="200"/>
            </w:pPr>
            <w:r>
              <w:rPr>
                <w:rFonts w:hint="eastAsia"/>
              </w:rPr>
              <w:t>部门主要目标：                                   2020.10.31日考核情况</w:t>
            </w:r>
          </w:p>
          <w:p>
            <w:pPr>
              <w:spacing w:before="93" w:beforeLines="30" w:after="93" w:afterLines="30"/>
              <w:ind w:firstLine="420" w:firstLineChars="200"/>
            </w:pPr>
            <w:r>
              <w:rPr>
                <w:rFonts w:hint="eastAsia"/>
              </w:rPr>
              <w:t xml:space="preserve">1、生产任务完成率100%                                    100% </w:t>
            </w:r>
          </w:p>
          <w:p>
            <w:pPr>
              <w:spacing w:before="93" w:beforeLines="30" w:after="93" w:afterLines="30"/>
              <w:ind w:firstLine="420" w:firstLineChars="200"/>
            </w:pPr>
            <w:r>
              <w:rPr>
                <w:rFonts w:hint="eastAsia"/>
              </w:rPr>
              <w:t>2、产品出厂合格率100%                                    100%</w:t>
            </w:r>
          </w:p>
          <w:p>
            <w:pPr>
              <w:spacing w:before="93" w:beforeLines="30" w:after="93" w:afterLines="30"/>
              <w:ind w:firstLine="420" w:firstLineChars="200"/>
            </w:pPr>
            <w:r>
              <w:rPr>
                <w:rFonts w:hint="eastAsia"/>
              </w:rPr>
              <w:t xml:space="preserve">3、职业病发病为0                                           0次 </w:t>
            </w:r>
          </w:p>
          <w:p>
            <w:pPr>
              <w:spacing w:before="93" w:beforeLines="30" w:after="93" w:afterLines="30"/>
              <w:ind w:firstLine="420" w:firstLineChars="200"/>
            </w:pPr>
            <w:r>
              <w:rPr>
                <w:rFonts w:hint="eastAsia"/>
              </w:rPr>
              <w:t>4、安全事故发生率为0                                       0次</w:t>
            </w:r>
          </w:p>
          <w:p>
            <w:pPr>
              <w:spacing w:before="93" w:beforeLines="30" w:after="93" w:afterLines="30"/>
              <w:ind w:firstLine="420" w:firstLineChars="200"/>
            </w:pPr>
            <w:r>
              <w:rPr>
                <w:rFonts w:hint="eastAsia"/>
              </w:rPr>
              <w:t xml:space="preserve">5、固废分类处置率100%；；                                  100% </w:t>
            </w:r>
          </w:p>
          <w:p>
            <w:pPr>
              <w:spacing w:before="93" w:beforeLines="30" w:after="93" w:afterLines="30"/>
              <w:ind w:firstLine="420" w:firstLineChars="200"/>
            </w:pPr>
            <w:r>
              <w:rPr>
                <w:rFonts w:hint="eastAsia"/>
              </w:rPr>
              <w:t>提供《管理目标考核表》</w:t>
            </w:r>
            <w:r>
              <w:rPr>
                <w:rFonts w:hint="eastAsia"/>
                <w:lang w:eastAsia="zh-CN"/>
              </w:rPr>
              <w:t>，</w:t>
            </w:r>
            <w:r>
              <w:rPr>
                <w:rFonts w:hint="eastAsia"/>
              </w:rPr>
              <w:t>于2020年10月31日考核，全部完成</w:t>
            </w:r>
            <w:r>
              <w:rPr>
                <w:rFonts w:hint="eastAsia"/>
                <w:lang w:eastAsia="zh-CN"/>
              </w:rPr>
              <w:t>，</w:t>
            </w:r>
            <w:r>
              <w:rPr>
                <w:rFonts w:hint="eastAsia"/>
              </w:rPr>
              <w:t>考核人樊卿。</w:t>
            </w:r>
          </w:p>
          <w:p>
            <w:pPr>
              <w:spacing w:before="93" w:beforeLines="30" w:after="93" w:afterLines="30"/>
              <w:ind w:firstLine="420" w:firstLineChars="200"/>
            </w:pPr>
            <w:r>
              <w:rPr>
                <w:rFonts w:hint="eastAsia"/>
              </w:rPr>
              <w:t>抽环境/职业健康安全管理方案，明确了措施、责任人、时间、资金投入要求：</w:t>
            </w:r>
          </w:p>
          <w:tbl>
            <w:tblPr>
              <w:tblStyle w:val="8"/>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096"/>
              <w:gridCol w:w="379"/>
              <w:gridCol w:w="361"/>
              <w:gridCol w:w="2711"/>
              <w:gridCol w:w="46"/>
              <w:gridCol w:w="1272"/>
              <w:gridCol w:w="373"/>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gridSpan w:val="3"/>
                  <w:vAlign w:val="center"/>
                </w:tcPr>
                <w:p>
                  <w:pPr>
                    <w:jc w:val="center"/>
                  </w:pPr>
                  <w:r>
                    <w:rPr>
                      <w:rFonts w:hint="eastAsia"/>
                    </w:rPr>
                    <w:t>管理方案名称</w:t>
                  </w:r>
                </w:p>
              </w:tc>
              <w:tc>
                <w:tcPr>
                  <w:tcW w:w="8034" w:type="dxa"/>
                  <w:gridSpan w:val="6"/>
                  <w:vAlign w:val="center"/>
                </w:tcPr>
                <w:p>
                  <w:pPr>
                    <w:jc w:val="center"/>
                  </w:pPr>
                  <w:r>
                    <w:rPr>
                      <w:rFonts w:hint="eastAsia"/>
                    </w:rPr>
                    <w:t>固体废弃物100%分类，合理处理的管理方案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60" w:type="dxa"/>
                  <w:gridSpan w:val="3"/>
                  <w:vAlign w:val="center"/>
                </w:tcPr>
                <w:p>
                  <w:pPr>
                    <w:jc w:val="center"/>
                  </w:pPr>
                  <w:r>
                    <w:rPr>
                      <w:rFonts w:hint="eastAsia"/>
                    </w:rPr>
                    <w:t>管理方案实施日期</w:t>
                  </w:r>
                </w:p>
              </w:tc>
              <w:tc>
                <w:tcPr>
                  <w:tcW w:w="3072" w:type="dxa"/>
                  <w:gridSpan w:val="2"/>
                  <w:vAlign w:val="center"/>
                </w:tcPr>
                <w:p>
                  <w:pPr>
                    <w:jc w:val="center"/>
                  </w:pPr>
                  <w:r>
                    <w:rPr>
                      <w:rFonts w:hint="eastAsia"/>
                    </w:rPr>
                    <w:t>2020年7月15日</w:t>
                  </w:r>
                </w:p>
              </w:tc>
              <w:tc>
                <w:tcPr>
                  <w:tcW w:w="1318" w:type="dxa"/>
                  <w:gridSpan w:val="2"/>
                  <w:vAlign w:val="center"/>
                </w:tcPr>
                <w:p>
                  <w:pPr>
                    <w:jc w:val="center"/>
                  </w:pPr>
                  <w:r>
                    <w:rPr>
                      <w:rFonts w:hint="eastAsia"/>
                    </w:rPr>
                    <w:t>评审日期</w:t>
                  </w:r>
                </w:p>
              </w:tc>
              <w:tc>
                <w:tcPr>
                  <w:tcW w:w="3644" w:type="dxa"/>
                  <w:gridSpan w:val="2"/>
                  <w:vAlign w:val="center"/>
                </w:tcPr>
                <w:p>
                  <w:pPr>
                    <w:jc w:val="center"/>
                  </w:pPr>
                  <w:r>
                    <w:rPr>
                      <w:rFonts w:hint="eastAsia"/>
                    </w:rPr>
                    <w:t>2020年7月10日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85" w:type="dxa"/>
                  <w:vMerge w:val="restart"/>
                  <w:vAlign w:val="center"/>
                </w:tcPr>
                <w:p>
                  <w:pPr>
                    <w:ind w:right="-86" w:rightChars="-41"/>
                    <w:jc w:val="center"/>
                  </w:pPr>
                  <w:r>
                    <w:rPr>
                      <w:rFonts w:hint="eastAsia"/>
                    </w:rPr>
                    <w:t>管</w:t>
                  </w:r>
                </w:p>
                <w:p>
                  <w:pPr>
                    <w:ind w:right="-86" w:rightChars="-41"/>
                    <w:jc w:val="center"/>
                  </w:pPr>
                  <w:r>
                    <w:rPr>
                      <w:rFonts w:hint="eastAsia"/>
                    </w:rPr>
                    <w:t>理</w:t>
                  </w:r>
                </w:p>
                <w:p>
                  <w:pPr>
                    <w:ind w:right="-86" w:rightChars="-41"/>
                    <w:jc w:val="center"/>
                  </w:pPr>
                  <w:r>
                    <w:rPr>
                      <w:rFonts w:hint="eastAsia"/>
                    </w:rPr>
                    <w:t>方</w:t>
                  </w:r>
                </w:p>
                <w:p>
                  <w:pPr>
                    <w:ind w:right="-86" w:rightChars="-41"/>
                    <w:jc w:val="center"/>
                  </w:pPr>
                  <w:r>
                    <w:rPr>
                      <w:rFonts w:hint="eastAsia"/>
                    </w:rPr>
                    <w:t>案</w:t>
                  </w:r>
                </w:p>
                <w:p>
                  <w:pPr>
                    <w:ind w:right="-86" w:rightChars="-41"/>
                    <w:jc w:val="center"/>
                  </w:pPr>
                  <w:r>
                    <w:rPr>
                      <w:rFonts w:hint="eastAsia"/>
                    </w:rPr>
                    <w:t>要</w:t>
                  </w:r>
                </w:p>
                <w:p>
                  <w:pPr>
                    <w:ind w:right="-86" w:rightChars="-41"/>
                    <w:jc w:val="center"/>
                  </w:pPr>
                  <w:r>
                    <w:rPr>
                      <w:rFonts w:hint="eastAsia"/>
                    </w:rPr>
                    <w:t>求</w:t>
                  </w:r>
                </w:p>
                <w:p>
                  <w:pPr>
                    <w:ind w:right="-86" w:rightChars="-41"/>
                    <w:jc w:val="center"/>
                  </w:pPr>
                </w:p>
              </w:tc>
              <w:tc>
                <w:tcPr>
                  <w:tcW w:w="1836" w:type="dxa"/>
                  <w:gridSpan w:val="3"/>
                  <w:vAlign w:val="center"/>
                </w:tcPr>
                <w:p>
                  <w:pPr>
                    <w:ind w:left="125" w:leftChars="59" w:right="-80" w:rightChars="-38" w:hanging="1"/>
                  </w:pPr>
                  <w:r>
                    <w:rPr>
                      <w:rFonts w:hint="eastAsia"/>
                    </w:rPr>
                    <w:t>目标要求</w:t>
                  </w:r>
                </w:p>
              </w:tc>
              <w:tc>
                <w:tcPr>
                  <w:tcW w:w="7673" w:type="dxa"/>
                  <w:gridSpan w:val="5"/>
                  <w:vAlign w:val="center"/>
                </w:tcPr>
                <w:p>
                  <w:pPr>
                    <w:ind w:right="-80" w:rightChars="-38"/>
                    <w:jc w:val="center"/>
                  </w:pPr>
                  <w:r>
                    <w:rPr>
                      <w:rFonts w:hint="eastAsia"/>
                    </w:rPr>
                    <w:t>固体废弃物分类收集处理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685" w:type="dxa"/>
                  <w:vMerge w:val="continue"/>
                  <w:vAlign w:val="center"/>
                </w:tcPr>
                <w:p>
                  <w:pPr>
                    <w:ind w:right="-86" w:rightChars="-41"/>
                    <w:jc w:val="center"/>
                  </w:pPr>
                </w:p>
              </w:tc>
              <w:tc>
                <w:tcPr>
                  <w:tcW w:w="1836" w:type="dxa"/>
                  <w:gridSpan w:val="3"/>
                  <w:vAlign w:val="center"/>
                </w:tcPr>
                <w:p>
                  <w:pPr>
                    <w:jc w:val="center"/>
                  </w:pPr>
                  <w:r>
                    <w:rPr>
                      <w:rFonts w:hint="eastAsia"/>
                    </w:rPr>
                    <w:t>措施要求</w:t>
                  </w:r>
                </w:p>
              </w:tc>
              <w:tc>
                <w:tcPr>
                  <w:tcW w:w="7673" w:type="dxa"/>
                  <w:gridSpan w:val="5"/>
                  <w:vAlign w:val="center"/>
                </w:tcPr>
                <w:p>
                  <w:r>
                    <w:rPr>
                      <w:rFonts w:hint="eastAsia"/>
                    </w:rPr>
                    <w:t>1.对固体废弃物进行分类，列出本公司可回收固废物和危险废物清单并对员工进行传达和培训。</w:t>
                  </w:r>
                </w:p>
                <w:p>
                  <w:r>
                    <w:rPr>
                      <w:rFonts w:hint="eastAsia"/>
                    </w:rPr>
                    <w:t>2．设废弃物分类收集、贮存专用箱（桶）或区城，给出标识，合理布点。</w:t>
                  </w:r>
                </w:p>
                <w:p>
                  <w:r>
                    <w:rPr>
                      <w:rFonts w:hint="eastAsia"/>
                    </w:rPr>
                    <w:t>3．联系落实固体废弃物（含危险废物）处置渠道。</w:t>
                  </w:r>
                </w:p>
                <w:p>
                  <w:r>
                    <w:rPr>
                      <w:rFonts w:hint="eastAsia"/>
                    </w:rPr>
                    <w:t>4．建立登记、检查制度。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685" w:type="dxa"/>
                  <w:vMerge w:val="continue"/>
                  <w:vAlign w:val="center"/>
                </w:tcPr>
                <w:p>
                  <w:pPr>
                    <w:ind w:right="-86" w:rightChars="-41"/>
                    <w:jc w:val="center"/>
                  </w:pPr>
                </w:p>
              </w:tc>
              <w:tc>
                <w:tcPr>
                  <w:tcW w:w="1836" w:type="dxa"/>
                  <w:gridSpan w:val="3"/>
                  <w:vAlign w:val="center"/>
                </w:tcPr>
                <w:p>
                  <w:pPr>
                    <w:ind w:firstLine="210" w:firstLineChars="100"/>
                  </w:pPr>
                  <w:r>
                    <w:rPr>
                      <w:rFonts w:hint="eastAsia"/>
                    </w:rPr>
                    <w:t>部门要求</w:t>
                  </w:r>
                </w:p>
              </w:tc>
              <w:tc>
                <w:tcPr>
                  <w:tcW w:w="7673" w:type="dxa"/>
                  <w:gridSpan w:val="5"/>
                  <w:vAlign w:val="center"/>
                </w:tcPr>
                <w:p>
                  <w:pPr>
                    <w:jc w:val="center"/>
                  </w:pPr>
                  <w:r>
                    <w:rPr>
                      <w:rFonts w:hint="eastAsia"/>
                    </w:rPr>
                    <w:t>综合部、生产部、销售部、质检部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685" w:type="dxa"/>
                  <w:vMerge w:val="continue"/>
                  <w:vAlign w:val="center"/>
                </w:tcPr>
                <w:p>
                  <w:pPr>
                    <w:ind w:right="-86" w:rightChars="-41"/>
                    <w:jc w:val="center"/>
                  </w:pPr>
                </w:p>
              </w:tc>
              <w:tc>
                <w:tcPr>
                  <w:tcW w:w="1836" w:type="dxa"/>
                  <w:gridSpan w:val="3"/>
                  <w:vAlign w:val="center"/>
                </w:tcPr>
                <w:p>
                  <w:r>
                    <w:rPr>
                      <w:rFonts w:hint="eastAsia"/>
                    </w:rPr>
                    <w:t>完成时间要求</w:t>
                  </w:r>
                </w:p>
              </w:tc>
              <w:tc>
                <w:tcPr>
                  <w:tcW w:w="7673" w:type="dxa"/>
                  <w:gridSpan w:val="5"/>
                </w:tcPr>
                <w:p>
                  <w:r>
                    <w:rPr>
                      <w:rFonts w:hint="eastAsia"/>
                    </w:rPr>
                    <w:t>第1、2、3条2020年12月份完成，第4条长期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85" w:type="dxa"/>
                  <w:vMerge w:val="continue"/>
                  <w:vAlign w:val="center"/>
                </w:tcPr>
                <w:p>
                  <w:pPr>
                    <w:ind w:right="-86" w:rightChars="-41"/>
                    <w:jc w:val="center"/>
                  </w:pPr>
                </w:p>
              </w:tc>
              <w:tc>
                <w:tcPr>
                  <w:tcW w:w="1836" w:type="dxa"/>
                  <w:gridSpan w:val="3"/>
                  <w:vAlign w:val="center"/>
                </w:tcPr>
                <w:p>
                  <w:pPr>
                    <w:ind w:firstLine="264" w:firstLineChars="126"/>
                  </w:pPr>
                  <w:r>
                    <w:rPr>
                      <w:rFonts w:hint="eastAsia"/>
                    </w:rPr>
                    <w:t>资金要求</w:t>
                  </w:r>
                </w:p>
              </w:tc>
              <w:tc>
                <w:tcPr>
                  <w:tcW w:w="7673" w:type="dxa"/>
                  <w:gridSpan w:val="5"/>
                  <w:vAlign w:val="center"/>
                </w:tcPr>
                <w:p>
                  <w:pPr>
                    <w:jc w:val="center"/>
                  </w:pPr>
                  <w:r>
                    <w:rPr>
                      <w:rFonts w:hint="eastAsia"/>
                    </w:rPr>
                    <w:t>以实际投入为准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trPr>
              <w:tc>
                <w:tcPr>
                  <w:tcW w:w="685" w:type="dxa"/>
                  <w:vAlign w:val="center"/>
                </w:tcPr>
                <w:p>
                  <w:pPr>
                    <w:jc w:val="center"/>
                  </w:pPr>
                  <w:r>
                    <w:rPr>
                      <w:rFonts w:hint="eastAsia"/>
                    </w:rPr>
                    <w:t>会议评审记录</w:t>
                  </w:r>
                </w:p>
              </w:tc>
              <w:tc>
                <w:tcPr>
                  <w:tcW w:w="9509" w:type="dxa"/>
                  <w:gridSpan w:val="8"/>
                </w:tcPr>
                <w:p>
                  <w:pPr>
                    <w:widowControl/>
                    <w:ind w:firstLine="420" w:firstLineChars="200"/>
                    <w:jc w:val="left"/>
                  </w:pPr>
                  <w:r>
                    <w:rPr>
                      <w:rFonts w:hint="eastAsia"/>
                    </w:rPr>
                    <w:t>此管理方案针对公司过程特点、部门职责情况、人员素质、公司规模及资金情况等进行了充分的考虑，现阶段公司实施此管理方案应该能达到有效预防的要求。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781" w:type="dxa"/>
                  <w:gridSpan w:val="2"/>
                  <w:vAlign w:val="center"/>
                </w:tcPr>
                <w:p>
                  <w:pPr>
                    <w:ind w:right="-80" w:rightChars="-38"/>
                    <w:jc w:val="center"/>
                  </w:pPr>
                  <w:r>
                    <w:rPr>
                      <w:rFonts w:hint="eastAsia"/>
                    </w:rPr>
                    <w:t>会议评审结论</w:t>
                  </w:r>
                </w:p>
              </w:tc>
              <w:tc>
                <w:tcPr>
                  <w:tcW w:w="8413" w:type="dxa"/>
                  <w:gridSpan w:val="7"/>
                  <w:vAlign w:val="center"/>
                </w:tcPr>
                <w:p>
                  <w:pPr>
                    <w:widowControl/>
                    <w:jc w:val="center"/>
                  </w:pPr>
                  <w:r>
                    <w:rPr>
                      <w:rFonts w:hint="eastAsia"/>
                    </w:rPr>
                    <w:t>方案适宜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781" w:type="dxa"/>
                  <w:gridSpan w:val="2"/>
                  <w:vAlign w:val="center"/>
                </w:tcPr>
                <w:p>
                  <w:pPr>
                    <w:ind w:right="-80" w:rightChars="-38"/>
                    <w:jc w:val="center"/>
                  </w:pPr>
                  <w:r>
                    <w:rPr>
                      <w:rFonts w:hint="eastAsia"/>
                    </w:rPr>
                    <w:t>由评审引发</w:t>
                  </w:r>
                </w:p>
                <w:p>
                  <w:pPr>
                    <w:ind w:right="-80" w:rightChars="-38"/>
                    <w:jc w:val="center"/>
                  </w:pPr>
                  <w:r>
                    <w:rPr>
                      <w:rFonts w:hint="eastAsia"/>
                    </w:rPr>
                    <w:t>的相关措施</w:t>
                  </w:r>
                </w:p>
              </w:tc>
              <w:tc>
                <w:tcPr>
                  <w:tcW w:w="8413" w:type="dxa"/>
                  <w:gridSpan w:val="7"/>
                  <w:vAlign w:val="center"/>
                </w:tcPr>
                <w:p>
                  <w:pPr>
                    <w:jc w:val="center"/>
                  </w:pPr>
                  <w:r>
                    <w:rPr>
                      <w:rFonts w:hint="eastAsia"/>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781" w:type="dxa"/>
                  <w:gridSpan w:val="2"/>
                  <w:vAlign w:val="center"/>
                </w:tcPr>
                <w:p>
                  <w:pPr>
                    <w:jc w:val="center"/>
                  </w:pPr>
                  <w:r>
                    <w:rPr>
                      <w:rFonts w:hint="eastAsia"/>
                    </w:rPr>
                    <w:t>制  表</w:t>
                  </w:r>
                </w:p>
              </w:tc>
              <w:tc>
                <w:tcPr>
                  <w:tcW w:w="3497" w:type="dxa"/>
                  <w:gridSpan w:val="4"/>
                  <w:vAlign w:val="center"/>
                </w:tcPr>
                <w:p>
                  <w:pPr>
                    <w:jc w:val="center"/>
                  </w:pPr>
                  <w:r>
                    <w:rPr>
                      <w:rFonts w:hint="eastAsia"/>
                    </w:rPr>
                    <w:t xml:space="preserve"> 樊卿</w:t>
                  </w:r>
                </w:p>
              </w:tc>
              <w:tc>
                <w:tcPr>
                  <w:tcW w:w="1645" w:type="dxa"/>
                  <w:gridSpan w:val="2"/>
                  <w:vAlign w:val="center"/>
                </w:tcPr>
                <w:p>
                  <w:pPr>
                    <w:jc w:val="center"/>
                  </w:pPr>
                  <w:r>
                    <w:rPr>
                      <w:rFonts w:hint="eastAsia"/>
                    </w:rPr>
                    <w:t>审批</w:t>
                  </w:r>
                </w:p>
              </w:tc>
              <w:tc>
                <w:tcPr>
                  <w:tcW w:w="3271" w:type="dxa"/>
                  <w:vAlign w:val="center"/>
                </w:tcPr>
                <w:p>
                  <w:pPr>
                    <w:jc w:val="center"/>
                  </w:pPr>
                  <w:r>
                    <w:rPr>
                      <w:rFonts w:hint="eastAsia"/>
                    </w:rPr>
                    <w:t xml:space="preserve">樊胜 </w:t>
                  </w:r>
                </w:p>
              </w:tc>
            </w:tr>
          </w:tbl>
          <w:p>
            <w:pPr>
              <w:spacing w:before="93" w:beforeLines="30" w:after="93" w:afterLines="30"/>
              <w:ind w:firstLine="420" w:firstLineChars="200"/>
              <w:rPr>
                <w:rFonts w:hint="eastAsia"/>
              </w:rPr>
            </w:pPr>
            <w:r>
              <w:rPr>
                <w:rFonts w:hint="eastAsia"/>
              </w:rPr>
              <w:t>措施在实施中，部分已完成，方案可指导实施，有效。</w:t>
            </w:r>
          </w:p>
          <w:p>
            <w:pPr>
              <w:pStyle w:val="7"/>
              <w:jc w:val="left"/>
            </w:pPr>
            <w:r>
              <w:rPr>
                <w:rFonts w:hint="eastAsia" w:ascii="宋体" w:hAnsi="宋体" w:cs="宋体"/>
                <w:color w:val="0000FF"/>
                <w:sz w:val="21"/>
                <w:szCs w:val="21"/>
                <w:lang w:val="en-US" w:eastAsia="zh-CN"/>
              </w:rPr>
              <w:t>经补充现场审核确认；Q审核内容与远程审核一致。</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52" w:type="dxa"/>
            <w:vAlign w:val="center"/>
          </w:tcPr>
          <w:p>
            <w:pPr>
              <w:rPr>
                <w:rFonts w:ascii="宋体" w:hAnsi="宋体" w:cs="宋体"/>
                <w:szCs w:val="21"/>
              </w:rPr>
            </w:pPr>
            <w:r>
              <w:rPr>
                <w:rFonts w:hint="eastAsia" w:ascii="宋体" w:hAnsi="宋体" w:cs="宋体"/>
                <w:szCs w:val="21"/>
              </w:rPr>
              <w:t>环境因素、危险源的识别评价</w:t>
            </w:r>
          </w:p>
        </w:tc>
        <w:tc>
          <w:tcPr>
            <w:tcW w:w="1215" w:type="dxa"/>
            <w:vAlign w:val="center"/>
          </w:tcPr>
          <w:p>
            <w:pPr>
              <w:rPr>
                <w:rFonts w:ascii="宋体" w:hAnsi="宋体" w:cs="宋体"/>
                <w:szCs w:val="21"/>
              </w:rPr>
            </w:pPr>
            <w:r>
              <w:rPr>
                <w:rFonts w:hint="eastAsia" w:ascii="宋体" w:hAnsi="宋体" w:cs="宋体"/>
                <w:szCs w:val="21"/>
              </w:rPr>
              <w:t>EO：6.1.2</w:t>
            </w:r>
          </w:p>
        </w:tc>
        <w:tc>
          <w:tcPr>
            <w:tcW w:w="10100" w:type="dxa"/>
            <w:vAlign w:val="center"/>
          </w:tcPr>
          <w:p>
            <w:pPr>
              <w:snapToGrid w:val="0"/>
              <w:spacing w:before="93" w:beforeLines="30" w:after="93" w:afterLines="30"/>
              <w:ind w:firstLine="420" w:firstLineChars="200"/>
            </w:pPr>
            <w:r>
              <w:rPr>
                <w:rFonts w:hint="eastAsia"/>
              </w:rPr>
              <w:t>提供了《环境因素、危险源识别与评价控制程序》，对环境因素、危险源的识别、评价结果、控制手段等做出了规定。</w:t>
            </w:r>
          </w:p>
          <w:p>
            <w:pPr>
              <w:snapToGrid w:val="0"/>
              <w:spacing w:before="93" w:beforeLines="30" w:after="93" w:afterLines="30"/>
              <w:ind w:right="392" w:firstLine="420" w:firstLineChars="200"/>
            </w:pPr>
            <w:r>
              <w:rPr>
                <w:rFonts w:hint="eastAsia"/>
              </w:rPr>
              <w:t>部门负责人介绍了对环境因素、危险源进行了辨识，考虑了三种时态，过去、现在和将来，三种状态，正常、异常和紧急，按照办公区域及工作过程，另外按照区域及工作过程等进行了辨识。</w:t>
            </w:r>
          </w:p>
          <w:p>
            <w:pPr>
              <w:snapToGrid w:val="0"/>
              <w:spacing w:before="93" w:beforeLines="30" w:after="93" w:afterLines="30"/>
              <w:ind w:firstLine="420" w:firstLineChars="200"/>
            </w:pPr>
            <w:r>
              <w:rPr>
                <w:rFonts w:hint="eastAsia"/>
              </w:rPr>
              <w:t>查《环境因素识别评价表》，对本部门生产和办公等有关过程的环境因素。分别识别了日常办公过程中的固废、水资源消耗、电能消耗、火灾，生产过程（固废排放、噪声排放、火灾、爆炸、电能消耗、粉尘排放、噪声排放）、设备维修（废弃丢弃、漏油、更换新部件）等环境因素。</w:t>
            </w:r>
          </w:p>
          <w:p>
            <w:pPr>
              <w:snapToGrid w:val="0"/>
              <w:spacing w:before="93" w:beforeLines="30" w:after="93" w:afterLines="30"/>
              <w:ind w:right="392" w:firstLine="420" w:firstLineChars="200"/>
            </w:pPr>
            <w:r>
              <w:rPr>
                <w:rFonts w:hint="eastAsia"/>
              </w:rPr>
              <w:t>采用评分标准以打分的方式评价重要环境因素，评价出的重要环境因素为：固废排放、潜在火灾/爆炸、废气（粉尘）排放、噪音排放等。</w:t>
            </w:r>
          </w:p>
          <w:p>
            <w:pPr>
              <w:spacing w:before="93" w:beforeLines="30" w:after="93" w:afterLines="30"/>
              <w:ind w:firstLine="420" w:firstLineChars="200"/>
            </w:pPr>
            <w:r>
              <w:rPr>
                <w:rFonts w:hint="eastAsia"/>
              </w:rPr>
              <w:t>提供《危险源识别评价表》，识别了办公过程中使用电脑产生电磁辐射、火灾、触电和生产过程中的粉尘危害、高处坠落、噪声伤害、传动设施防护缺陷人身伤害等危险源。</w:t>
            </w:r>
          </w:p>
          <w:p>
            <w:pPr>
              <w:snapToGrid w:val="0"/>
              <w:spacing w:before="93" w:beforeLines="30" w:after="93" w:afterLines="30"/>
              <w:ind w:firstLine="420" w:firstLineChars="200"/>
            </w:pPr>
            <w:r>
              <w:rPr>
                <w:rFonts w:hint="eastAsia"/>
              </w:rPr>
              <w:t>查到：《不可接受风险清单》，公司涉及重大危险源 3 项：火灾、触电、机械伤害，本部门涉及的不可接受风险：均有涉及。</w:t>
            </w:r>
          </w:p>
          <w:p>
            <w:pPr>
              <w:spacing w:before="93" w:beforeLines="30" w:after="93" w:afterLines="30"/>
              <w:ind w:firstLine="420" w:firstLineChars="200"/>
              <w:rPr>
                <w:rFonts w:hint="eastAsia"/>
              </w:rPr>
            </w:pPr>
            <w:r>
              <w:rPr>
                <w:rFonts w:hint="eastAsia"/>
              </w:rPr>
              <w:t>生产部环境因素、危险源的识别、评价基本符合标准要求。策划通过运行控制、管理方案、培训教育、应急预案等对重大环境因素/危险源实施控制，基本适宜，具体见EO8.1条款。</w:t>
            </w:r>
          </w:p>
          <w:p>
            <w:pPr>
              <w:pStyle w:val="7"/>
              <w:jc w:val="both"/>
              <w:rPr>
                <w:rFonts w:hint="default" w:eastAsia="宋体"/>
                <w:lang w:val="en-US" w:eastAsia="zh-CN"/>
              </w:rPr>
            </w:pPr>
            <w:r>
              <w:rPr>
                <w:rFonts w:hint="eastAsia" w:ascii="宋体" w:hAnsi="宋体" w:cs="宋体"/>
                <w:color w:val="0000FF"/>
                <w:sz w:val="21"/>
                <w:szCs w:val="21"/>
                <w:lang w:val="en-US" w:eastAsia="zh-CN"/>
              </w:rPr>
              <w:t>见张磊补充现场审核确认记录。</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752" w:type="dxa"/>
            <w:vAlign w:val="center"/>
          </w:tcPr>
          <w:p>
            <w:pPr>
              <w:rPr>
                <w:rFonts w:ascii="宋体" w:hAnsi="宋体" w:cs="宋体"/>
                <w:szCs w:val="21"/>
              </w:rPr>
            </w:pPr>
            <w:r>
              <w:rPr>
                <w:rFonts w:hint="eastAsia" w:ascii="宋体" w:hAnsi="宋体" w:cs="宋体"/>
                <w:szCs w:val="21"/>
              </w:rPr>
              <w:t>合规义务</w:t>
            </w:r>
          </w:p>
        </w:tc>
        <w:tc>
          <w:tcPr>
            <w:tcW w:w="1215" w:type="dxa"/>
            <w:vAlign w:val="center"/>
          </w:tcPr>
          <w:p>
            <w:pPr>
              <w:rPr>
                <w:rFonts w:ascii="宋体" w:hAnsi="宋体" w:cs="宋体"/>
                <w:szCs w:val="21"/>
              </w:rPr>
            </w:pPr>
            <w:r>
              <w:rPr>
                <w:rFonts w:hint="eastAsia" w:ascii="宋体" w:hAnsi="宋体" w:cs="宋体"/>
                <w:szCs w:val="21"/>
              </w:rPr>
              <w:t>EO：6.1.3</w:t>
            </w:r>
          </w:p>
        </w:tc>
        <w:tc>
          <w:tcPr>
            <w:tcW w:w="10100" w:type="dxa"/>
            <w:vAlign w:val="center"/>
          </w:tcPr>
          <w:p>
            <w:pPr>
              <w:snapToGrid w:val="0"/>
              <w:ind w:firstLine="420" w:firstLineChars="200"/>
            </w:pPr>
            <w:r>
              <w:rPr>
                <w:rFonts w:hint="eastAsia"/>
              </w:rPr>
              <w:t>编制了《法律法规和其它要求获取、识别控制程序》，对法律法规的识别更新和应用进行规定，综合部为主控部门，收集的相关法律法规由综合部归档。</w:t>
            </w:r>
          </w:p>
          <w:p>
            <w:pPr>
              <w:snapToGrid w:val="0"/>
              <w:ind w:firstLine="420" w:firstLineChars="200"/>
            </w:pPr>
            <w:r>
              <w:rPr>
                <w:rFonts w:hint="eastAsia"/>
              </w:rPr>
              <w:t>部门人员介绍：主要通过网络、上级下发等多种形式收集本公司适用的法律法规。提供了《环境法律法规清单》、《职业健康安全法律法规清单》，识别了企业相关环境和职业健康安全法律法规、标准和其他要求。如《中华人民共和国环境保护法》、《中华人民共和国安全生产法》、《中华人民共和国环境噪声污染防治法》、《中华人民共和国职业病防治法》、《中华人民共和国消防法》、《中华人民共和国大气污染防治法》、《甘肃省环境污染防治条例》、《甘肃省安全生产条例》、《机关、团体、企业、事业单位消防安全管理规定》等。</w:t>
            </w:r>
          </w:p>
          <w:p>
            <w:pPr>
              <w:snapToGrid w:val="0"/>
              <w:ind w:firstLine="420" w:firstLineChars="200"/>
            </w:pPr>
            <w:r>
              <w:rPr>
                <w:rFonts w:hint="eastAsia"/>
              </w:rPr>
              <w:t>已识别法律法规及其它要求的适用条款，并与环境因素、危险源相对应。公司通过培训、会议等方式向有关员工传达法律、法规及其它要求的相关要求。</w:t>
            </w:r>
          </w:p>
          <w:p>
            <w:pPr>
              <w:spacing w:before="93" w:beforeLines="30" w:after="93" w:afterLines="30"/>
              <w:ind w:firstLine="420" w:firstLineChars="200"/>
              <w:rPr>
                <w:rFonts w:hint="eastAsia"/>
              </w:rPr>
            </w:pPr>
            <w:r>
              <w:rPr>
                <w:rFonts w:hint="eastAsia"/>
              </w:rPr>
              <w:t>生产部收集的法律、法规及其它要求都在有效期内，符合要求。</w:t>
            </w:r>
          </w:p>
          <w:p>
            <w:pPr>
              <w:pStyle w:val="7"/>
              <w:jc w:val="both"/>
            </w:pPr>
            <w:r>
              <w:rPr>
                <w:rFonts w:hint="eastAsia" w:ascii="宋体" w:hAnsi="宋体" w:cs="宋体"/>
                <w:color w:val="0000FF"/>
                <w:sz w:val="21"/>
                <w:szCs w:val="21"/>
                <w:lang w:val="en-US" w:eastAsia="zh-CN"/>
              </w:rPr>
              <w:t>见张磊补充现场审核确认记录。</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752" w:type="dxa"/>
            <w:shd w:val="clear" w:color="auto" w:fill="auto"/>
            <w:vAlign w:val="center"/>
          </w:tcPr>
          <w:p>
            <w:pPr>
              <w:rPr>
                <w:rFonts w:ascii="宋体" w:hAnsi="宋体" w:cs="宋体"/>
                <w:szCs w:val="21"/>
              </w:rPr>
            </w:pPr>
            <w:r>
              <w:rPr>
                <w:rFonts w:hint="eastAsia" w:ascii="宋体" w:hAnsi="宋体" w:cs="宋体"/>
                <w:szCs w:val="21"/>
              </w:rPr>
              <w:t>基础设施</w:t>
            </w:r>
          </w:p>
        </w:tc>
        <w:tc>
          <w:tcPr>
            <w:tcW w:w="1215" w:type="dxa"/>
            <w:shd w:val="clear" w:color="auto" w:fill="auto"/>
            <w:vAlign w:val="center"/>
          </w:tcPr>
          <w:p>
            <w:pPr>
              <w:rPr>
                <w:rFonts w:ascii="宋体" w:hAnsi="宋体" w:cs="宋体"/>
                <w:color w:val="000000"/>
                <w:szCs w:val="21"/>
              </w:rPr>
            </w:pPr>
            <w:r>
              <w:rPr>
                <w:rFonts w:hint="eastAsia" w:ascii="宋体" w:hAnsi="宋体" w:cs="宋体"/>
                <w:color w:val="000000"/>
                <w:szCs w:val="21"/>
              </w:rPr>
              <w:t xml:space="preserve">Q：7.1.3 </w:t>
            </w:r>
          </w:p>
        </w:tc>
        <w:tc>
          <w:tcPr>
            <w:tcW w:w="10100" w:type="dxa"/>
            <w:shd w:val="clear" w:color="auto" w:fill="auto"/>
            <w:vAlign w:val="center"/>
          </w:tcPr>
          <w:p>
            <w:pPr>
              <w:spacing w:before="93" w:beforeLines="30" w:after="93" w:afterLines="30"/>
              <w:ind w:firstLine="420" w:firstLineChars="200"/>
              <w:rPr>
                <w:rFonts w:hint="eastAsia"/>
              </w:rPr>
            </w:pPr>
            <w:r>
              <w:rPr>
                <w:rFonts w:hint="eastAsia"/>
              </w:rPr>
              <w:t>公司为确保质量、环境、职业健康安全管理体系的建立、实施和改进需要，提供并配备主要生产设备包括球磨机、砂浆泵、</w:t>
            </w:r>
            <w:r>
              <w:rPr>
                <w:rFonts w:hint="eastAsia" w:ascii="宋体" w:hAnsi="宋体" w:eastAsia="宋体" w:cs="宋体"/>
                <w:color w:val="0000FF"/>
                <w:kern w:val="2"/>
                <w:sz w:val="21"/>
                <w:szCs w:val="21"/>
                <w:lang w:val="en-US" w:eastAsia="zh-CN" w:bidi="ar-SA"/>
              </w:rPr>
              <w:t>蒸压釜（</w:t>
            </w:r>
            <w:r>
              <w:rPr>
                <w:rFonts w:hint="eastAsia" w:ascii="宋体" w:hAnsi="宋体" w:cs="宋体"/>
                <w:color w:val="0000FF"/>
                <w:kern w:val="2"/>
                <w:sz w:val="21"/>
                <w:szCs w:val="21"/>
                <w:lang w:val="en-US" w:eastAsia="zh-CN" w:bidi="ar-SA"/>
              </w:rPr>
              <w:t>补充现场</w:t>
            </w:r>
            <w:r>
              <w:rPr>
                <w:rFonts w:hint="eastAsia" w:ascii="宋体" w:hAnsi="宋体" w:eastAsia="宋体" w:cs="宋体"/>
                <w:color w:val="0000FF"/>
                <w:kern w:val="2"/>
                <w:sz w:val="21"/>
                <w:szCs w:val="21"/>
                <w:lang w:val="en-US" w:eastAsia="zh-CN" w:bidi="ar-SA"/>
              </w:rPr>
              <w:t>审核）、</w:t>
            </w:r>
            <w:r>
              <w:rPr>
                <w:rFonts w:hint="eastAsia"/>
              </w:rPr>
              <w:t>袋式脉冲除尘器、搅拌机、除渣机、钠离子交换机、双卧轴强制式搅拌机、强制式粉碎混合机、液压成型机、</w:t>
            </w:r>
            <w:r>
              <w:rPr>
                <w:rFonts w:hint="eastAsia" w:ascii="宋体" w:hAnsi="宋体" w:eastAsia="宋体" w:cs="宋体"/>
                <w:color w:val="0000FF"/>
                <w:kern w:val="2"/>
                <w:sz w:val="21"/>
                <w:szCs w:val="21"/>
                <w:lang w:val="en-US" w:eastAsia="zh-CN" w:bidi="ar-SA"/>
              </w:rPr>
              <w:t>燃煤蒸汽锅炉（</w:t>
            </w:r>
            <w:r>
              <w:rPr>
                <w:rFonts w:hint="eastAsia" w:ascii="宋体" w:hAnsi="宋体" w:cs="宋体"/>
                <w:color w:val="0000FF"/>
                <w:kern w:val="2"/>
                <w:sz w:val="21"/>
                <w:szCs w:val="21"/>
                <w:lang w:val="en-US" w:eastAsia="zh-CN" w:bidi="ar-SA"/>
              </w:rPr>
              <w:t>补充现场</w:t>
            </w:r>
            <w:r>
              <w:rPr>
                <w:rFonts w:hint="eastAsia" w:ascii="宋体" w:hAnsi="宋体" w:eastAsia="宋体" w:cs="宋体"/>
                <w:color w:val="0000FF"/>
                <w:kern w:val="2"/>
                <w:sz w:val="21"/>
                <w:szCs w:val="21"/>
                <w:lang w:val="en-US" w:eastAsia="zh-CN" w:bidi="ar-SA"/>
              </w:rPr>
              <w:t>审核）</w:t>
            </w:r>
            <w:r>
              <w:rPr>
                <w:rFonts w:hint="eastAsia" w:ascii="宋体" w:hAnsi="宋体" w:cs="宋体"/>
                <w:color w:val="0000FF"/>
                <w:kern w:val="2"/>
                <w:sz w:val="21"/>
                <w:szCs w:val="21"/>
                <w:lang w:val="en-US" w:eastAsia="zh-CN" w:bidi="ar-SA"/>
              </w:rPr>
              <w:t>、</w:t>
            </w:r>
            <w:r>
              <w:rPr>
                <w:rFonts w:hint="eastAsia"/>
              </w:rPr>
              <w:t>空调、文件柜、电脑、打复印机等生产设备；钢直尺、卷尺等监视测量设备；</w:t>
            </w:r>
            <w:r>
              <w:rPr>
                <w:rFonts w:hint="eastAsia"/>
                <w:b/>
                <w:bCs/>
                <w:color w:val="FF0000"/>
                <w:lang w:eastAsia="zh-CN"/>
              </w:rPr>
              <w:t>（</w:t>
            </w:r>
            <w:r>
              <w:rPr>
                <w:rFonts w:hint="eastAsia"/>
                <w:b/>
                <w:bCs/>
                <w:color w:val="FF0000"/>
                <w:lang w:val="en-US" w:eastAsia="zh-CN"/>
              </w:rPr>
              <w:t>A</w:t>
            </w:r>
            <w:r>
              <w:rPr>
                <w:rFonts w:hint="eastAsia"/>
                <w:b/>
                <w:bCs/>
                <w:color w:val="FF0000"/>
                <w:lang w:eastAsia="zh-CN"/>
              </w:rPr>
              <w:t>）</w:t>
            </w:r>
            <w:r>
              <w:rPr>
                <w:rFonts w:hint="eastAsia"/>
                <w:color w:val="FF0000"/>
              </w:rPr>
              <w:t>以及灭火器、消防栓、除尘器等环保和安全辅助设备/设施</w:t>
            </w:r>
            <w:r>
              <w:rPr>
                <w:rFonts w:hint="eastAsia"/>
                <w:color w:val="FF0000"/>
                <w:lang w:eastAsia="zh-CN"/>
              </w:rPr>
              <w:t>（</w:t>
            </w:r>
            <w:r>
              <w:rPr>
                <w:rFonts w:hint="eastAsia"/>
                <w:color w:val="FF0000"/>
                <w:lang w:val="en-US" w:eastAsia="zh-CN"/>
              </w:rPr>
              <w:t>远程审核</w:t>
            </w:r>
            <w:r>
              <w:rPr>
                <w:rFonts w:hint="eastAsia"/>
                <w:color w:val="FF0000"/>
                <w:lang w:eastAsia="zh-CN"/>
              </w:rPr>
              <w:t>）</w:t>
            </w:r>
            <w:r>
              <w:rPr>
                <w:rFonts w:hint="eastAsia"/>
                <w:color w:val="FF0000"/>
                <w:lang w:val="en-US" w:eastAsia="zh-CN"/>
              </w:rPr>
              <w:t>/</w:t>
            </w:r>
            <w:r>
              <w:rPr>
                <w:rFonts w:hint="eastAsia" w:ascii="宋体" w:hAnsi="宋体" w:eastAsia="宋体" w:cs="宋体"/>
                <w:b w:val="0"/>
                <w:bCs w:val="0"/>
                <w:color w:val="0000FF"/>
                <w:kern w:val="2"/>
                <w:sz w:val="21"/>
                <w:szCs w:val="21"/>
                <w:lang w:val="en-US" w:eastAsia="zh-CN" w:bidi="ar-SA"/>
              </w:rPr>
              <w:t>以及灭火器、</w:t>
            </w:r>
            <w:r>
              <w:rPr>
                <w:rFonts w:hint="eastAsia" w:ascii="宋体" w:hAnsi="宋体" w:eastAsia="宋体" w:cs="宋体"/>
                <w:color w:val="0000FF"/>
                <w:kern w:val="2"/>
                <w:sz w:val="21"/>
                <w:szCs w:val="21"/>
                <w:lang w:val="en-US" w:eastAsia="zh-CN" w:bidi="ar-SA"/>
              </w:rPr>
              <w:t>除尘器等环保和安全辅助设备/设施（</w:t>
            </w:r>
            <w:r>
              <w:rPr>
                <w:rFonts w:hint="eastAsia" w:ascii="宋体" w:hAnsi="宋体" w:cs="宋体"/>
                <w:color w:val="0000FF"/>
                <w:kern w:val="2"/>
                <w:sz w:val="21"/>
                <w:szCs w:val="21"/>
                <w:lang w:val="en-US" w:eastAsia="zh-CN" w:bidi="ar-SA"/>
              </w:rPr>
              <w:t>补充现场</w:t>
            </w:r>
            <w:r>
              <w:rPr>
                <w:rFonts w:hint="eastAsia" w:ascii="宋体" w:hAnsi="宋体" w:eastAsia="宋体" w:cs="宋体"/>
                <w:color w:val="0000FF"/>
                <w:kern w:val="2"/>
                <w:sz w:val="21"/>
                <w:szCs w:val="21"/>
                <w:lang w:val="en-US" w:eastAsia="zh-CN" w:bidi="ar-SA"/>
              </w:rPr>
              <w:t>审核）</w:t>
            </w:r>
            <w:r>
              <w:rPr>
                <w:rFonts w:hint="eastAsia"/>
              </w:rPr>
              <w:t>。现有基础设施配备较充分、齐全，满足日常经营和管理体系的实施和改进需要。</w:t>
            </w:r>
          </w:p>
          <w:p>
            <w:pPr>
              <w:spacing w:before="93" w:beforeLines="30" w:after="93" w:afterLines="30"/>
              <w:ind w:firstLine="420" w:firstLineChars="200"/>
            </w:pPr>
            <w:r>
              <w:rPr>
                <w:rFonts w:hint="eastAsia"/>
              </w:rPr>
              <w:t>查见“办公设备台账”、“生产设备台账”、“监视测量设备台账”，明确了设备名称、型号、数量等。</w:t>
            </w:r>
          </w:p>
          <w:p>
            <w:pPr>
              <w:spacing w:before="93" w:beforeLines="30" w:after="93" w:afterLines="30"/>
              <w:ind w:firstLine="420" w:firstLineChars="200"/>
            </w:pPr>
            <w:r>
              <w:rPr>
                <w:rFonts w:hint="eastAsia"/>
              </w:rPr>
              <w:t>企业提供的《设备维修管理规定》、《设备保养管理规定》规定了设备申请、购置、验收、维护保养、检修、标识和报废等控制要求，生产设备维护保养有进行分类控制</w:t>
            </w:r>
          </w:p>
          <w:p>
            <w:pPr>
              <w:spacing w:before="93" w:beforeLines="30" w:after="93" w:afterLines="30"/>
              <w:ind w:firstLine="420" w:firstLineChars="200"/>
            </w:pPr>
            <w:r>
              <w:rPr>
                <w:rFonts w:hint="eastAsia"/>
              </w:rPr>
              <w:t>查见“设备维修保养计划”，规定计划保养时间、设备、规格型号、保养人等内容。</w:t>
            </w:r>
          </w:p>
          <w:p>
            <w:pPr>
              <w:spacing w:before="93" w:beforeLines="30" w:after="93" w:afterLines="30"/>
              <w:ind w:firstLine="420" w:firstLineChars="200"/>
            </w:pPr>
            <w:r>
              <w:rPr>
                <w:rFonts w:hint="eastAsia"/>
              </w:rPr>
              <w:t>维修项目：清理、加油、更换易损件、检查设备线路。</w:t>
            </w:r>
          </w:p>
          <w:p>
            <w:pPr>
              <w:spacing w:before="93" w:beforeLines="30" w:after="93" w:afterLines="30"/>
              <w:ind w:firstLine="420" w:firstLineChars="200"/>
            </w:pPr>
            <w:r>
              <w:rPr>
                <w:rFonts w:hint="eastAsia"/>
              </w:rPr>
              <w:t>查见2020年10月29-30日“设备保养记录表”。</w:t>
            </w:r>
          </w:p>
          <w:p>
            <w:pPr>
              <w:spacing w:before="93" w:beforeLines="30" w:after="93" w:afterLines="30"/>
              <w:ind w:firstLine="420" w:firstLineChars="200"/>
            </w:pPr>
            <w:r>
              <w:rPr>
                <w:rFonts w:hint="eastAsia"/>
              </w:rPr>
              <w:t>抽查2020.10.29日设备名称浇注搅拌机，项目：清洁和线路检查等项，管理人员吴义林。</w:t>
            </w:r>
          </w:p>
          <w:p>
            <w:pPr>
              <w:spacing w:before="93" w:beforeLines="30" w:after="93" w:afterLines="30"/>
              <w:ind w:firstLine="420" w:firstLineChars="200"/>
            </w:pPr>
            <w:r>
              <w:rPr>
                <w:rFonts w:hint="eastAsia"/>
              </w:rPr>
              <w:t>抽查2020.10.30日设备名称强制式粉碎混合机，项目：清洁线路检查等项，管理人员吴义林。</w:t>
            </w:r>
          </w:p>
          <w:p>
            <w:pPr>
              <w:spacing w:before="93" w:beforeLines="30" w:after="93" w:afterLines="30"/>
              <w:ind w:firstLine="420" w:firstLineChars="200"/>
            </w:pPr>
            <w:r>
              <w:rPr>
                <w:rFonts w:hint="eastAsia"/>
              </w:rPr>
              <w:t>远程观察到上述生产设备辅助设备运行状态正常。</w:t>
            </w:r>
          </w:p>
          <w:p>
            <w:pPr>
              <w:spacing w:before="93" w:beforeLines="30" w:after="93" w:afterLines="30"/>
              <w:ind w:firstLine="422" w:firstLineChars="200"/>
              <w:rPr>
                <w:color w:val="FF0000"/>
              </w:rPr>
            </w:pPr>
            <w:r>
              <w:rPr>
                <w:rFonts w:hint="eastAsia"/>
                <w:b/>
                <w:bCs/>
                <w:color w:val="FF0000"/>
                <w:lang w:val="en-US" w:eastAsia="zh-CN"/>
              </w:rPr>
              <w:t>（B）</w:t>
            </w:r>
            <w:r>
              <w:rPr>
                <w:rFonts w:hint="eastAsia"/>
                <w:color w:val="FF0000"/>
                <w:lang w:val="en-US" w:eastAsia="zh-CN"/>
              </w:rPr>
              <w:t>远程审核：</w:t>
            </w:r>
            <w:r>
              <w:rPr>
                <w:rFonts w:hint="eastAsia"/>
                <w:color w:val="FF0000"/>
              </w:rPr>
              <w:t>查特种设备：</w:t>
            </w:r>
          </w:p>
          <w:p>
            <w:pPr>
              <w:numPr>
                <w:ilvl w:val="0"/>
                <w:numId w:val="1"/>
              </w:numPr>
              <w:spacing w:before="93" w:beforeLines="30" w:after="93" w:afterLines="30"/>
              <w:ind w:firstLine="480"/>
              <w:rPr>
                <w:color w:val="auto"/>
              </w:rPr>
            </w:pPr>
            <w:r>
              <w:rPr>
                <w:rFonts w:hint="eastAsia"/>
                <w:color w:val="auto"/>
              </w:rPr>
              <w:t>锅炉1台，提供了张掖市特种设备检验所2020-5-4出具的内检报告，检验结论：符合要求。</w:t>
            </w:r>
          </w:p>
          <w:p>
            <w:pPr>
              <w:numPr>
                <w:ilvl w:val="0"/>
                <w:numId w:val="1"/>
              </w:numPr>
              <w:spacing w:before="93" w:beforeLines="30" w:after="93" w:afterLines="30"/>
              <w:ind w:left="-60" w:leftChars="0" w:firstLine="480" w:firstLineChars="0"/>
              <w:rPr>
                <w:rFonts w:hint="eastAsia"/>
                <w:color w:val="auto"/>
              </w:rPr>
            </w:pPr>
            <w:r>
              <w:rPr>
                <w:rFonts w:hint="eastAsia"/>
                <w:color w:val="auto"/>
              </w:rPr>
              <w:t>压力表9个，提供民乐县质量技术监督检测所检定证书，检验日期2020.3.18日，均在有效期内，符合要求。</w:t>
            </w:r>
          </w:p>
          <w:p>
            <w:pPr>
              <w:pStyle w:val="4"/>
              <w:rPr>
                <w:rFonts w:hint="eastAsia"/>
                <w:color w:val="FF0000"/>
              </w:rPr>
            </w:pPr>
          </w:p>
          <w:p>
            <w:pPr>
              <w:rPr>
                <w:rFonts w:hint="eastAsia"/>
                <w:color w:val="1739E7"/>
                <w:lang w:val="en-US" w:eastAsia="zh-CN"/>
              </w:rPr>
            </w:pPr>
            <w:r>
              <w:rPr>
                <w:rFonts w:hint="eastAsia"/>
                <w:color w:val="1739E7"/>
                <w:lang w:val="en-US" w:eastAsia="zh-CN"/>
              </w:rPr>
              <w:t>补充现场审核：</w:t>
            </w:r>
          </w:p>
          <w:p>
            <w:pPr>
              <w:rPr>
                <w:color w:val="1739E7"/>
              </w:rPr>
            </w:pPr>
            <w:r>
              <w:rPr>
                <w:rFonts w:hint="eastAsia"/>
                <w:color w:val="1739E7"/>
              </w:rPr>
              <w:t>特种设备控制</w:t>
            </w:r>
          </w:p>
          <w:p>
            <w:pPr>
              <w:rPr>
                <w:color w:val="1739E7"/>
              </w:rPr>
            </w:pPr>
            <w:r>
              <w:rPr>
                <w:rFonts w:hint="eastAsia"/>
                <w:color w:val="1739E7"/>
              </w:rPr>
              <w:t>特种设备种类：</w:t>
            </w:r>
            <w:r>
              <w:rPr>
                <w:rFonts w:hint="eastAsia"/>
                <w:color w:val="1739E7"/>
              </w:rPr>
              <w:sym w:font="Wingdings" w:char="00FE"/>
            </w:r>
            <w:r>
              <w:rPr>
                <w:rFonts w:hint="eastAsia"/>
                <w:color w:val="1739E7"/>
              </w:rPr>
              <w:t xml:space="preserve">叉车 </w:t>
            </w:r>
            <w:r>
              <w:rPr>
                <w:rFonts w:hint="eastAsia"/>
                <w:color w:val="1739E7"/>
              </w:rPr>
              <w:sym w:font="Wingdings" w:char="00A8"/>
            </w:r>
            <w:r>
              <w:rPr>
                <w:rFonts w:hint="eastAsia"/>
                <w:color w:val="1739E7"/>
              </w:rPr>
              <w:t xml:space="preserve">行车 </w:t>
            </w:r>
            <w:r>
              <w:rPr>
                <w:rFonts w:hint="eastAsia"/>
                <w:color w:val="1739E7"/>
              </w:rPr>
              <w:sym w:font="Wingdings" w:char="00FE"/>
            </w:r>
            <w:r>
              <w:rPr>
                <w:rFonts w:hint="eastAsia"/>
                <w:color w:val="1739E7"/>
              </w:rPr>
              <w:t xml:space="preserve">锅炉 </w:t>
            </w:r>
            <w:r>
              <w:rPr>
                <w:rFonts w:hint="eastAsia"/>
                <w:color w:val="1739E7"/>
              </w:rPr>
              <w:sym w:font="Wingdings" w:char="00A8"/>
            </w:r>
            <w:r>
              <w:rPr>
                <w:rFonts w:hint="eastAsia"/>
                <w:color w:val="1739E7"/>
              </w:rPr>
              <w:t xml:space="preserve">电梯  </w:t>
            </w:r>
            <w:r>
              <w:rPr>
                <w:rFonts w:hint="eastAsia"/>
                <w:color w:val="1739E7"/>
              </w:rPr>
              <w:sym w:font="Wingdings" w:char="00FE"/>
            </w:r>
            <w:r>
              <w:rPr>
                <w:rFonts w:hint="eastAsia"/>
                <w:color w:val="1739E7"/>
              </w:rPr>
              <w:t xml:space="preserve">压力容器  </w:t>
            </w:r>
            <w:r>
              <w:rPr>
                <w:rFonts w:hint="eastAsia"/>
                <w:color w:val="1739E7"/>
              </w:rPr>
              <w:sym w:font="Wingdings" w:char="00A8"/>
            </w:r>
            <w:r>
              <w:rPr>
                <w:rFonts w:hint="eastAsia"/>
                <w:color w:val="1739E7"/>
              </w:rPr>
              <w:t xml:space="preserve">压力管道  </w:t>
            </w:r>
            <w:r>
              <w:rPr>
                <w:rFonts w:hint="eastAsia"/>
                <w:color w:val="1739E7"/>
              </w:rPr>
              <w:sym w:font="Wingdings" w:char="00A8"/>
            </w:r>
            <w:r>
              <w:rPr>
                <w:rFonts w:hint="eastAsia"/>
                <w:color w:val="1739E7"/>
              </w:rPr>
              <w:t xml:space="preserve">不适用  </w:t>
            </w:r>
          </w:p>
          <w:tbl>
            <w:tblPr>
              <w:tblStyle w:val="9"/>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2420"/>
              <w:gridCol w:w="1880"/>
              <w:gridCol w:w="1240"/>
              <w:gridCol w:w="97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070" w:type="dxa"/>
                </w:tcPr>
                <w:p>
                  <w:pPr>
                    <w:rPr>
                      <w:color w:val="1739E7"/>
                      <w:highlight w:val="none"/>
                    </w:rPr>
                  </w:pPr>
                  <w:r>
                    <w:rPr>
                      <w:rFonts w:hint="eastAsia"/>
                      <w:color w:val="1739E7"/>
                      <w:highlight w:val="none"/>
                    </w:rPr>
                    <w:t>设备名称</w:t>
                  </w:r>
                </w:p>
              </w:tc>
              <w:tc>
                <w:tcPr>
                  <w:tcW w:w="2420" w:type="dxa"/>
                </w:tcPr>
                <w:p>
                  <w:pPr>
                    <w:rPr>
                      <w:color w:val="1739E7"/>
                      <w:highlight w:val="none"/>
                    </w:rPr>
                  </w:pPr>
                  <w:r>
                    <w:rPr>
                      <w:rFonts w:hint="eastAsia"/>
                      <w:color w:val="1739E7"/>
                      <w:highlight w:val="none"/>
                    </w:rPr>
                    <w:t>编号</w:t>
                  </w:r>
                </w:p>
              </w:tc>
              <w:tc>
                <w:tcPr>
                  <w:tcW w:w="1880" w:type="dxa"/>
                </w:tcPr>
                <w:p>
                  <w:pPr>
                    <w:rPr>
                      <w:color w:val="1739E7"/>
                      <w:highlight w:val="none"/>
                    </w:rPr>
                  </w:pPr>
                  <w:r>
                    <w:rPr>
                      <w:rFonts w:hint="eastAsia"/>
                      <w:color w:val="1739E7"/>
                      <w:highlight w:val="none"/>
                    </w:rPr>
                    <w:t>《定期检测报告》编号</w:t>
                  </w:r>
                </w:p>
              </w:tc>
              <w:tc>
                <w:tcPr>
                  <w:tcW w:w="1240" w:type="dxa"/>
                </w:tcPr>
                <w:p>
                  <w:pPr>
                    <w:rPr>
                      <w:color w:val="1739E7"/>
                      <w:highlight w:val="none"/>
                    </w:rPr>
                  </w:pPr>
                  <w:r>
                    <w:rPr>
                      <w:rFonts w:hint="eastAsia"/>
                      <w:color w:val="1739E7"/>
                      <w:highlight w:val="none"/>
                    </w:rPr>
                    <w:t>有效期期限</w:t>
                  </w:r>
                </w:p>
              </w:tc>
              <w:tc>
                <w:tcPr>
                  <w:tcW w:w="970" w:type="dxa"/>
                </w:tcPr>
                <w:p>
                  <w:pPr>
                    <w:rPr>
                      <w:color w:val="1739E7"/>
                      <w:highlight w:val="none"/>
                    </w:rPr>
                  </w:pPr>
                  <w:r>
                    <w:rPr>
                      <w:rFonts w:hint="eastAsia"/>
                      <w:color w:val="1739E7"/>
                      <w:highlight w:val="none"/>
                    </w:rPr>
                    <w:t>结论</w:t>
                  </w:r>
                </w:p>
              </w:tc>
              <w:tc>
                <w:tcPr>
                  <w:tcW w:w="1140" w:type="dxa"/>
                </w:tcPr>
                <w:p>
                  <w:pPr>
                    <w:rPr>
                      <w:color w:val="1739E7"/>
                      <w:highlight w:val="none"/>
                    </w:rPr>
                  </w:pPr>
                  <w:r>
                    <w:rPr>
                      <w:rFonts w:hint="eastAsia"/>
                      <w:color w:val="1739E7"/>
                      <w:highlight w:val="none"/>
                    </w:rPr>
                    <w:t>《使用登记证》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070" w:type="dxa"/>
                </w:tcPr>
                <w:p>
                  <w:pPr>
                    <w:rPr>
                      <w:color w:val="1739E7"/>
                      <w:highlight w:val="none"/>
                    </w:rPr>
                  </w:pPr>
                  <w:r>
                    <w:rPr>
                      <w:rFonts w:hint="eastAsia"/>
                      <w:color w:val="1739E7"/>
                      <w:highlight w:val="none"/>
                    </w:rPr>
                    <w:t>叉车</w:t>
                  </w:r>
                </w:p>
              </w:tc>
              <w:tc>
                <w:tcPr>
                  <w:tcW w:w="2420" w:type="dxa"/>
                </w:tcPr>
                <w:p>
                  <w:pPr>
                    <w:rPr>
                      <w:rFonts w:hint="default" w:eastAsia="宋体"/>
                      <w:color w:val="1739E7"/>
                      <w:highlight w:val="none"/>
                      <w:lang w:val="en-US" w:eastAsia="zh-CN"/>
                    </w:rPr>
                  </w:pPr>
                  <w:r>
                    <w:rPr>
                      <w:rFonts w:hint="eastAsia"/>
                      <w:color w:val="1739E7"/>
                      <w:highlight w:val="none"/>
                      <w:lang w:val="en-US" w:eastAsia="zh-CN"/>
                    </w:rPr>
                    <w:t>51106207002015040001</w:t>
                  </w:r>
                </w:p>
              </w:tc>
              <w:tc>
                <w:tcPr>
                  <w:tcW w:w="1880" w:type="dxa"/>
                </w:tcPr>
                <w:p>
                  <w:pPr>
                    <w:rPr>
                      <w:rFonts w:hint="default"/>
                      <w:color w:val="1739E7"/>
                      <w:highlight w:val="none"/>
                      <w:lang w:val="en-US"/>
                    </w:rPr>
                  </w:pPr>
                  <w:r>
                    <w:rPr>
                      <w:rFonts w:hint="eastAsia"/>
                      <w:color w:val="1739E7"/>
                      <w:highlight w:val="none"/>
                      <w:lang w:val="en-US" w:eastAsia="zh-CN"/>
                    </w:rPr>
                    <w:t>ZYTJ-5110-1904-0179</w:t>
                  </w:r>
                </w:p>
              </w:tc>
              <w:tc>
                <w:tcPr>
                  <w:tcW w:w="1240" w:type="dxa"/>
                </w:tcPr>
                <w:p>
                  <w:pPr>
                    <w:rPr>
                      <w:color w:val="1739E7"/>
                      <w:highlight w:val="none"/>
                    </w:rPr>
                  </w:pPr>
                  <w:r>
                    <w:rPr>
                      <w:rFonts w:hint="eastAsia"/>
                      <w:color w:val="1739E7"/>
                      <w:highlight w:val="none"/>
                      <w:lang w:val="en-US" w:eastAsia="zh-CN"/>
                    </w:rPr>
                    <w:t>2021</w:t>
                  </w:r>
                  <w:r>
                    <w:rPr>
                      <w:rFonts w:hint="eastAsia"/>
                      <w:color w:val="1739E7"/>
                      <w:highlight w:val="none"/>
                    </w:rPr>
                    <w:t xml:space="preserve">年  </w:t>
                  </w:r>
                  <w:r>
                    <w:rPr>
                      <w:rFonts w:hint="eastAsia"/>
                      <w:color w:val="1739E7"/>
                      <w:highlight w:val="none"/>
                      <w:lang w:val="en-US" w:eastAsia="zh-CN"/>
                    </w:rPr>
                    <w:t>4</w:t>
                  </w:r>
                  <w:r>
                    <w:rPr>
                      <w:rFonts w:hint="eastAsia"/>
                      <w:color w:val="1739E7"/>
                      <w:highlight w:val="none"/>
                    </w:rPr>
                    <w:t>月</w:t>
                  </w:r>
                  <w:r>
                    <w:rPr>
                      <w:rFonts w:hint="eastAsia"/>
                      <w:color w:val="1739E7"/>
                      <w:highlight w:val="none"/>
                      <w:lang w:val="en-US" w:eastAsia="zh-CN"/>
                    </w:rPr>
                    <w:t>23</w:t>
                  </w:r>
                  <w:r>
                    <w:rPr>
                      <w:rFonts w:hint="eastAsia"/>
                      <w:color w:val="1739E7"/>
                      <w:highlight w:val="none"/>
                    </w:rPr>
                    <w:t>日</w:t>
                  </w:r>
                </w:p>
              </w:tc>
              <w:tc>
                <w:tcPr>
                  <w:tcW w:w="970" w:type="dxa"/>
                </w:tcPr>
                <w:p>
                  <w:pPr>
                    <w:rPr>
                      <w:color w:val="1739E7"/>
                      <w:highlight w:val="none"/>
                    </w:rPr>
                  </w:pPr>
                  <w:bookmarkStart w:id="1" w:name="_GoBack"/>
                  <w:bookmarkEnd w:id="1"/>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tcPr>
                <w:p>
                  <w:pPr>
                    <w:rPr>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070" w:type="dxa"/>
                  <w:vAlign w:val="top"/>
                </w:tcPr>
                <w:p>
                  <w:pPr>
                    <w:rPr>
                      <w:rFonts w:hint="eastAsia" w:eastAsia="宋体"/>
                      <w:color w:val="1739E7"/>
                      <w:highlight w:val="none"/>
                      <w:lang w:eastAsia="zh-CN"/>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蒸压釜</w:t>
                  </w:r>
                  <w:r>
                    <w:rPr>
                      <w:rFonts w:hint="eastAsia"/>
                      <w:color w:val="1739E7"/>
                      <w:highlight w:val="none"/>
                      <w:lang w:eastAsia="zh-CN"/>
                    </w:rPr>
                    <w:t>）</w:t>
                  </w:r>
                </w:p>
              </w:tc>
              <w:tc>
                <w:tcPr>
                  <w:tcW w:w="2420" w:type="dxa"/>
                  <w:vAlign w:val="top"/>
                </w:tcPr>
                <w:p>
                  <w:pPr>
                    <w:rPr>
                      <w:rFonts w:hint="default"/>
                      <w:color w:val="1739E7"/>
                      <w:highlight w:val="none"/>
                      <w:u w:val="single"/>
                      <w:lang w:val="en-US" w:eastAsia="zh-CN"/>
                    </w:rPr>
                  </w:pPr>
                  <w:r>
                    <w:rPr>
                      <w:rFonts w:hint="eastAsia"/>
                      <w:color w:val="1739E7"/>
                      <w:highlight w:val="none"/>
                      <w:u w:val="single"/>
                      <w:lang w:val="en-US" w:eastAsia="zh-CN"/>
                    </w:rPr>
                    <w:t>21706207002013060007</w:t>
                  </w:r>
                </w:p>
              </w:tc>
              <w:tc>
                <w:tcPr>
                  <w:tcW w:w="1880" w:type="dxa"/>
                  <w:vAlign w:val="top"/>
                </w:tcPr>
                <w:p>
                  <w:pPr>
                    <w:rPr>
                      <w:rFonts w:hint="eastAsia"/>
                      <w:color w:val="1739E7"/>
                      <w:highlight w:val="none"/>
                    </w:rPr>
                  </w:pPr>
                  <w:r>
                    <w:rPr>
                      <w:rFonts w:hint="eastAsia"/>
                      <w:color w:val="1739E7"/>
                      <w:highlight w:val="none"/>
                      <w:lang w:val="en-US" w:eastAsia="zh-CN"/>
                    </w:rPr>
                    <w:t>ZYTJ-RD2020-022-0144</w:t>
                  </w:r>
                </w:p>
              </w:tc>
              <w:tc>
                <w:tcPr>
                  <w:tcW w:w="1240" w:type="dxa"/>
                  <w:vAlign w:val="top"/>
                </w:tcPr>
                <w:p>
                  <w:pPr>
                    <w:rPr>
                      <w:rFonts w:hint="eastAsia"/>
                      <w:color w:val="1739E7"/>
                      <w:highlight w:val="none"/>
                    </w:rPr>
                  </w:pPr>
                  <w:r>
                    <w:rPr>
                      <w:rFonts w:hint="eastAsia"/>
                      <w:color w:val="1739E7"/>
                      <w:highlight w:val="none"/>
                      <w:lang w:val="en-US" w:eastAsia="zh-CN"/>
                    </w:rPr>
                    <w:t>2021年7月1日</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07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蒸压釜</w:t>
                  </w:r>
                  <w:r>
                    <w:rPr>
                      <w:rFonts w:hint="eastAsia"/>
                      <w:color w:val="1739E7"/>
                      <w:highlight w:val="none"/>
                      <w:lang w:eastAsia="zh-CN"/>
                    </w:rPr>
                    <w:t>）</w:t>
                  </w:r>
                </w:p>
              </w:tc>
              <w:tc>
                <w:tcPr>
                  <w:tcW w:w="2420" w:type="dxa"/>
                  <w:vAlign w:val="top"/>
                </w:tcPr>
                <w:p>
                  <w:pPr>
                    <w:rPr>
                      <w:rFonts w:hint="default" w:ascii="Times New Roman" w:hAnsi="Times New Roman" w:eastAsia="宋体" w:cs="Times New Roman"/>
                      <w:color w:val="1739E7"/>
                      <w:kern w:val="2"/>
                      <w:sz w:val="21"/>
                      <w:highlight w:val="none"/>
                      <w:lang w:val="en-US" w:eastAsia="zh-CN" w:bidi="ar-SA"/>
                    </w:rPr>
                  </w:pPr>
                  <w:r>
                    <w:rPr>
                      <w:rFonts w:hint="eastAsia"/>
                      <w:color w:val="1739E7"/>
                      <w:highlight w:val="none"/>
                      <w:u w:val="single"/>
                      <w:lang w:val="en-US" w:eastAsia="zh-CN"/>
                    </w:rPr>
                    <w:t>21706207002013050002</w:t>
                  </w:r>
                </w:p>
              </w:tc>
              <w:tc>
                <w:tcPr>
                  <w:tcW w:w="188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lang w:val="en-US" w:eastAsia="zh-CN"/>
                    </w:rPr>
                    <w:t>ZYTJ-RD2020-022-0143</w:t>
                  </w:r>
                  <w:r>
                    <w:rPr>
                      <w:rFonts w:hint="eastAsia"/>
                      <w:color w:val="1739E7"/>
                      <w:highlight w:val="none"/>
                    </w:rPr>
                    <w:t xml:space="preserve">         </w:t>
                  </w:r>
                </w:p>
              </w:tc>
              <w:tc>
                <w:tcPr>
                  <w:tcW w:w="124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lang w:val="en-US" w:eastAsia="zh-CN"/>
                    </w:rPr>
                    <w:t>2021年7月1日</w:t>
                  </w:r>
                </w:p>
              </w:tc>
              <w:tc>
                <w:tcPr>
                  <w:tcW w:w="970" w:type="dxa"/>
                  <w:vAlign w:val="top"/>
                </w:tcPr>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70" w:type="dxa"/>
                </w:tcPr>
                <w:p>
                  <w:pPr>
                    <w:rPr>
                      <w:color w:val="1739E7"/>
                      <w:highlight w:val="none"/>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蒸压釜</w:t>
                  </w:r>
                  <w:r>
                    <w:rPr>
                      <w:rFonts w:hint="eastAsia"/>
                      <w:color w:val="1739E7"/>
                      <w:highlight w:val="none"/>
                      <w:lang w:eastAsia="zh-CN"/>
                    </w:rPr>
                    <w:t>）</w:t>
                  </w:r>
                </w:p>
              </w:tc>
              <w:tc>
                <w:tcPr>
                  <w:tcW w:w="2420" w:type="dxa"/>
                </w:tcPr>
                <w:p>
                  <w:pPr>
                    <w:rPr>
                      <w:rFonts w:hint="default" w:eastAsia="宋体"/>
                      <w:color w:val="1739E7"/>
                      <w:highlight w:val="none"/>
                      <w:lang w:val="en-US" w:eastAsia="zh-CN"/>
                    </w:rPr>
                  </w:pPr>
                  <w:r>
                    <w:rPr>
                      <w:rFonts w:hint="eastAsia"/>
                      <w:color w:val="1739E7"/>
                      <w:highlight w:val="none"/>
                      <w:u w:val="single"/>
                      <w:lang w:val="en-US" w:eastAsia="zh-CN"/>
                    </w:rPr>
                    <w:t>21706207002013050001</w:t>
                  </w:r>
                </w:p>
              </w:tc>
              <w:tc>
                <w:tcPr>
                  <w:tcW w:w="1880" w:type="dxa"/>
                </w:tcPr>
                <w:p>
                  <w:pPr>
                    <w:rPr>
                      <w:color w:val="1739E7"/>
                      <w:highlight w:val="none"/>
                    </w:rPr>
                  </w:pPr>
                  <w:r>
                    <w:rPr>
                      <w:rFonts w:hint="eastAsia"/>
                      <w:color w:val="1739E7"/>
                      <w:highlight w:val="none"/>
                      <w:lang w:val="en-US" w:eastAsia="zh-CN"/>
                    </w:rPr>
                    <w:t>ZYTJ-RD2020-019-0173</w:t>
                  </w:r>
                </w:p>
              </w:tc>
              <w:tc>
                <w:tcPr>
                  <w:tcW w:w="1240" w:type="dxa"/>
                  <w:vAlign w:val="top"/>
                </w:tcPr>
                <w:p>
                  <w:pPr>
                    <w:rPr>
                      <w:color w:val="1739E7"/>
                      <w:highlight w:val="none"/>
                    </w:rPr>
                  </w:pPr>
                  <w:r>
                    <w:rPr>
                      <w:rFonts w:hint="eastAsia"/>
                      <w:color w:val="1739E7"/>
                      <w:highlight w:val="none"/>
                      <w:lang w:val="en-US" w:eastAsia="zh-CN"/>
                    </w:rPr>
                    <w:t>2021年7月1日</w:t>
                  </w:r>
                </w:p>
              </w:tc>
              <w:tc>
                <w:tcPr>
                  <w:tcW w:w="970" w:type="dxa"/>
                  <w:vAlign w:val="top"/>
                </w:tcPr>
                <w:p>
                  <w:pPr>
                    <w:rPr>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7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分气缸</w:t>
                  </w:r>
                  <w:r>
                    <w:rPr>
                      <w:rFonts w:hint="eastAsia"/>
                      <w:color w:val="1739E7"/>
                      <w:highlight w:val="none"/>
                      <w:lang w:eastAsia="zh-CN"/>
                    </w:rPr>
                    <w:t>）</w:t>
                  </w:r>
                </w:p>
              </w:tc>
              <w:tc>
                <w:tcPr>
                  <w:tcW w:w="2420" w:type="dxa"/>
                  <w:vAlign w:val="top"/>
                </w:tcPr>
                <w:p>
                  <w:pPr>
                    <w:rPr>
                      <w:rFonts w:hint="default" w:ascii="Times New Roman" w:hAnsi="Times New Roman" w:eastAsia="宋体" w:cs="Times New Roman"/>
                      <w:color w:val="1739E7"/>
                      <w:kern w:val="2"/>
                      <w:sz w:val="21"/>
                      <w:highlight w:val="none"/>
                      <w:u w:val="single"/>
                      <w:lang w:val="en-US" w:eastAsia="zh-CN" w:bidi="ar-SA"/>
                    </w:rPr>
                  </w:pPr>
                  <w:r>
                    <w:rPr>
                      <w:rFonts w:hint="eastAsia"/>
                      <w:color w:val="1739E7"/>
                      <w:highlight w:val="none"/>
                      <w:u w:val="single"/>
                      <w:lang w:val="en-US" w:eastAsia="zh-CN"/>
                    </w:rPr>
                    <w:t>21506207002013050002</w:t>
                  </w:r>
                </w:p>
              </w:tc>
              <w:tc>
                <w:tcPr>
                  <w:tcW w:w="1880" w:type="dxa"/>
                  <w:vAlign w:val="top"/>
                </w:tcPr>
                <w:p>
                  <w:pPr>
                    <w:rPr>
                      <w:color w:val="1739E7"/>
                      <w:highlight w:val="none"/>
                    </w:rPr>
                  </w:pPr>
                  <w:r>
                    <w:rPr>
                      <w:rFonts w:hint="eastAsia"/>
                      <w:color w:val="1739E7"/>
                      <w:highlight w:val="none"/>
                      <w:lang w:val="en-US" w:eastAsia="zh-CN"/>
                    </w:rPr>
                    <w:t>ZYTJ-RD2020-019-0172</w:t>
                  </w:r>
                </w:p>
              </w:tc>
              <w:tc>
                <w:tcPr>
                  <w:tcW w:w="1240" w:type="dxa"/>
                  <w:vAlign w:val="top"/>
                </w:tcPr>
                <w:p>
                  <w:pPr>
                    <w:rPr>
                      <w:rFonts w:hint="eastAsia"/>
                      <w:color w:val="1739E7"/>
                      <w:highlight w:val="none"/>
                    </w:rPr>
                  </w:pPr>
                  <w:r>
                    <w:rPr>
                      <w:rFonts w:hint="eastAsia"/>
                      <w:color w:val="1739E7"/>
                      <w:highlight w:val="none"/>
                      <w:lang w:val="en-US" w:eastAsia="zh-CN"/>
                    </w:rPr>
                    <w:t>2021年7月1日</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7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分气缸</w:t>
                  </w:r>
                  <w:r>
                    <w:rPr>
                      <w:rFonts w:hint="eastAsia"/>
                      <w:color w:val="1739E7"/>
                      <w:highlight w:val="none"/>
                      <w:lang w:eastAsia="zh-CN"/>
                    </w:rPr>
                    <w:t>）</w:t>
                  </w:r>
                </w:p>
              </w:tc>
              <w:tc>
                <w:tcPr>
                  <w:tcW w:w="2420" w:type="dxa"/>
                  <w:vAlign w:val="top"/>
                </w:tcPr>
                <w:p>
                  <w:pPr>
                    <w:rPr>
                      <w:rFonts w:hint="default" w:ascii="Times New Roman" w:hAnsi="Times New Roman" w:eastAsia="宋体" w:cs="Times New Roman"/>
                      <w:color w:val="1739E7"/>
                      <w:kern w:val="2"/>
                      <w:sz w:val="21"/>
                      <w:highlight w:val="none"/>
                      <w:u w:val="single"/>
                      <w:lang w:val="en-US" w:eastAsia="zh-CN" w:bidi="ar-SA"/>
                    </w:rPr>
                  </w:pPr>
                  <w:r>
                    <w:rPr>
                      <w:rFonts w:hint="eastAsia"/>
                      <w:color w:val="1739E7"/>
                      <w:highlight w:val="none"/>
                      <w:u w:val="single"/>
                      <w:lang w:val="en-US" w:eastAsia="zh-CN"/>
                    </w:rPr>
                    <w:t>21506207002013050001</w:t>
                  </w:r>
                </w:p>
              </w:tc>
              <w:tc>
                <w:tcPr>
                  <w:tcW w:w="1880" w:type="dxa"/>
                </w:tcPr>
                <w:p>
                  <w:pPr>
                    <w:rPr>
                      <w:rFonts w:hint="default" w:eastAsia="宋体"/>
                      <w:color w:val="1739E7"/>
                      <w:highlight w:val="none"/>
                      <w:lang w:val="en-US" w:eastAsia="zh-CN"/>
                    </w:rPr>
                  </w:pPr>
                  <w:r>
                    <w:rPr>
                      <w:rFonts w:hint="eastAsia"/>
                      <w:color w:val="1739E7"/>
                      <w:highlight w:val="none"/>
                      <w:lang w:val="en-US" w:eastAsia="zh-CN"/>
                    </w:rPr>
                    <w:t>ZYTJ-RD2020-019-0171</w:t>
                  </w:r>
                </w:p>
              </w:tc>
              <w:tc>
                <w:tcPr>
                  <w:tcW w:w="1240" w:type="dxa"/>
                </w:tcPr>
                <w:p>
                  <w:pPr>
                    <w:rPr>
                      <w:rFonts w:hint="default" w:eastAsia="宋体"/>
                      <w:color w:val="1739E7"/>
                      <w:highlight w:val="none"/>
                      <w:lang w:val="en-US" w:eastAsia="zh-CN"/>
                    </w:rPr>
                  </w:pPr>
                  <w:r>
                    <w:rPr>
                      <w:rFonts w:hint="eastAsia"/>
                      <w:color w:val="1739E7"/>
                      <w:highlight w:val="none"/>
                      <w:lang w:val="en-US" w:eastAsia="zh-CN"/>
                    </w:rPr>
                    <w:t>2021年7月1日</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7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rPr>
                    <w:t>锅炉</w:t>
                  </w:r>
                  <w:r>
                    <w:rPr>
                      <w:rFonts w:hint="eastAsia"/>
                      <w:color w:val="1739E7"/>
                      <w:highlight w:val="none"/>
                      <w:lang w:eastAsia="zh-CN"/>
                    </w:rPr>
                    <w:t>（</w:t>
                  </w:r>
                  <w:r>
                    <w:rPr>
                      <w:rFonts w:hint="eastAsia"/>
                      <w:color w:val="1739E7"/>
                      <w:highlight w:val="none"/>
                      <w:lang w:val="en-US" w:eastAsia="zh-CN"/>
                    </w:rPr>
                    <w:t>内检</w:t>
                  </w:r>
                  <w:r>
                    <w:rPr>
                      <w:rFonts w:hint="eastAsia"/>
                      <w:color w:val="1739E7"/>
                      <w:highlight w:val="none"/>
                      <w:lang w:eastAsia="zh-CN"/>
                    </w:rPr>
                    <w:t>）</w:t>
                  </w:r>
                </w:p>
              </w:tc>
              <w:tc>
                <w:tcPr>
                  <w:tcW w:w="242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s="Times New Roman"/>
                      <w:color w:val="1739E7"/>
                      <w:kern w:val="2"/>
                      <w:sz w:val="21"/>
                      <w:highlight w:val="none"/>
                      <w:lang w:val="en-US" w:eastAsia="zh-CN" w:bidi="ar-SA"/>
                    </w:rPr>
                    <w:t>DZL6-1.6-AII</w:t>
                  </w:r>
                </w:p>
              </w:tc>
              <w:tc>
                <w:tcPr>
                  <w:tcW w:w="1880" w:type="dxa"/>
                  <w:vAlign w:val="top"/>
                </w:tcPr>
                <w:p>
                  <w:pPr>
                    <w:rPr>
                      <w:rFonts w:hint="default" w:ascii="Times New Roman" w:hAnsi="Times New Roman" w:eastAsia="宋体" w:cs="Times New Roman"/>
                      <w:color w:val="1739E7"/>
                      <w:kern w:val="2"/>
                      <w:sz w:val="21"/>
                      <w:highlight w:val="none"/>
                      <w:lang w:val="en-US" w:eastAsia="zh-CN" w:bidi="ar-SA"/>
                    </w:rPr>
                  </w:pPr>
                  <w:r>
                    <w:rPr>
                      <w:rFonts w:hint="eastAsia"/>
                      <w:color w:val="1739E7"/>
                      <w:highlight w:val="none"/>
                      <w:lang w:val="en-US" w:eastAsia="zh-CN"/>
                    </w:rPr>
                    <w:t>ZYTJ-GD2020-019-0068</w:t>
                  </w:r>
                </w:p>
              </w:tc>
              <w:tc>
                <w:tcPr>
                  <w:tcW w:w="124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olor w:val="1739E7"/>
                      <w:highlight w:val="none"/>
                      <w:lang w:val="en-US" w:eastAsia="zh-CN"/>
                    </w:rPr>
                    <w:t>2022</w:t>
                  </w:r>
                  <w:r>
                    <w:rPr>
                      <w:rFonts w:hint="eastAsia"/>
                      <w:color w:val="1739E7"/>
                      <w:highlight w:val="none"/>
                    </w:rPr>
                    <w:t>年</w:t>
                  </w:r>
                  <w:r>
                    <w:rPr>
                      <w:rFonts w:hint="eastAsia"/>
                      <w:color w:val="1739E7"/>
                      <w:highlight w:val="none"/>
                      <w:lang w:val="en-US" w:eastAsia="zh-CN"/>
                    </w:rPr>
                    <w:t>5</w:t>
                  </w:r>
                  <w:r>
                    <w:rPr>
                      <w:rFonts w:hint="eastAsia"/>
                      <w:color w:val="1739E7"/>
                      <w:highlight w:val="none"/>
                    </w:rPr>
                    <w:t xml:space="preserve">月  </w:t>
                  </w:r>
                  <w:r>
                    <w:rPr>
                      <w:rFonts w:hint="eastAsia"/>
                      <w:color w:val="1739E7"/>
                      <w:highlight w:val="none"/>
                      <w:lang w:val="en-US" w:eastAsia="zh-CN"/>
                    </w:rPr>
                    <w:t>14</w:t>
                  </w:r>
                  <w:r>
                    <w:rPr>
                      <w:rFonts w:hint="eastAsia"/>
                      <w:color w:val="1739E7"/>
                      <w:highlight w:val="none"/>
                    </w:rPr>
                    <w:t>日</w:t>
                  </w:r>
                </w:p>
              </w:tc>
              <w:tc>
                <w:tcPr>
                  <w:tcW w:w="970" w:type="dxa"/>
                  <w:vAlign w:val="top"/>
                </w:tcPr>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70" w:type="dxa"/>
                  <w:vAlign w:val="top"/>
                </w:tcPr>
                <w:p>
                  <w:pPr>
                    <w:rPr>
                      <w:rFonts w:hint="eastAsia"/>
                      <w:color w:val="1739E7"/>
                      <w:highlight w:val="none"/>
                      <w:lang w:val="en-US" w:eastAsia="zh-CN"/>
                    </w:rPr>
                  </w:pPr>
                  <w:r>
                    <w:rPr>
                      <w:rFonts w:hint="eastAsia"/>
                      <w:color w:val="1739E7"/>
                      <w:highlight w:val="none"/>
                    </w:rPr>
                    <w:t>锅炉</w:t>
                  </w:r>
                  <w:r>
                    <w:rPr>
                      <w:rFonts w:hint="eastAsia"/>
                      <w:color w:val="1739E7"/>
                      <w:highlight w:val="none"/>
                      <w:lang w:eastAsia="zh-CN"/>
                    </w:rPr>
                    <w:t>（</w:t>
                  </w:r>
                  <w:r>
                    <w:rPr>
                      <w:rFonts w:hint="eastAsia"/>
                      <w:color w:val="1739E7"/>
                      <w:highlight w:val="none"/>
                      <w:lang w:val="en-US" w:eastAsia="zh-CN"/>
                    </w:rPr>
                    <w:t>外检：安全阀</w:t>
                  </w:r>
                  <w:r>
                    <w:rPr>
                      <w:rFonts w:hint="eastAsia"/>
                      <w:color w:val="1739E7"/>
                      <w:highlight w:val="none"/>
                      <w:lang w:eastAsia="zh-CN"/>
                    </w:rPr>
                    <w:t>）</w:t>
                  </w:r>
                </w:p>
              </w:tc>
              <w:tc>
                <w:tcPr>
                  <w:tcW w:w="2420" w:type="dxa"/>
                  <w:vAlign w:val="top"/>
                </w:tcPr>
                <w:p>
                  <w:pPr>
                    <w:rPr>
                      <w:rFonts w:hint="eastAsia" w:cs="Times New Roman"/>
                      <w:color w:val="1739E7"/>
                      <w:kern w:val="2"/>
                      <w:sz w:val="21"/>
                      <w:highlight w:val="none"/>
                      <w:lang w:val="en-US" w:eastAsia="zh-CN" w:bidi="ar-SA"/>
                    </w:rPr>
                  </w:pPr>
                  <w:r>
                    <w:rPr>
                      <w:rFonts w:hint="eastAsia" w:cs="Times New Roman"/>
                      <w:color w:val="1739E7"/>
                      <w:kern w:val="2"/>
                      <w:sz w:val="21"/>
                      <w:highlight w:val="none"/>
                      <w:lang w:val="en-US" w:eastAsia="zh-CN" w:bidi="ar-SA"/>
                    </w:rPr>
                    <w:t>DZL6-1.6-AII</w:t>
                  </w:r>
                </w:p>
              </w:tc>
              <w:tc>
                <w:tcPr>
                  <w:tcW w:w="1880" w:type="dxa"/>
                  <w:vAlign w:val="top"/>
                </w:tcPr>
                <w:p>
                  <w:pPr>
                    <w:rPr>
                      <w:rFonts w:hint="default" w:ascii="Times New Roman" w:hAnsi="Times New Roman" w:eastAsia="宋体" w:cs="Times New Roman"/>
                      <w:color w:val="1739E7"/>
                      <w:kern w:val="2"/>
                      <w:sz w:val="21"/>
                      <w:highlight w:val="none"/>
                      <w:lang w:val="en-US" w:eastAsia="zh-CN" w:bidi="ar-SA"/>
                    </w:rPr>
                  </w:pPr>
                  <w:r>
                    <w:rPr>
                      <w:rFonts w:hint="eastAsia"/>
                      <w:color w:val="1739E7"/>
                      <w:highlight w:val="none"/>
                      <w:lang w:val="en-US" w:eastAsia="zh-CN"/>
                    </w:rPr>
                    <w:t>ZYTJ/BGF-2021-0517</w:t>
                  </w:r>
                </w:p>
              </w:tc>
              <w:tc>
                <w:tcPr>
                  <w:tcW w:w="1240" w:type="dxa"/>
                  <w:vAlign w:val="top"/>
                </w:tcPr>
                <w:p>
                  <w:pPr>
                    <w:rPr>
                      <w:rFonts w:hint="eastAsia"/>
                      <w:color w:val="1739E7"/>
                      <w:highlight w:val="none"/>
                    </w:rPr>
                  </w:pPr>
                  <w:r>
                    <w:rPr>
                      <w:rFonts w:hint="eastAsia"/>
                      <w:color w:val="1739E7"/>
                      <w:highlight w:val="none"/>
                      <w:lang w:val="en-US" w:eastAsia="zh-CN"/>
                    </w:rPr>
                    <w:t>2022</w:t>
                  </w:r>
                  <w:r>
                    <w:rPr>
                      <w:rFonts w:hint="eastAsia"/>
                      <w:color w:val="1739E7"/>
                      <w:highlight w:val="none"/>
                    </w:rPr>
                    <w:t>年</w:t>
                  </w:r>
                  <w:r>
                    <w:rPr>
                      <w:rFonts w:hint="eastAsia"/>
                      <w:color w:val="1739E7"/>
                      <w:highlight w:val="none"/>
                      <w:lang w:val="en-US" w:eastAsia="zh-CN"/>
                    </w:rPr>
                    <w:t>3</w:t>
                  </w:r>
                  <w:r>
                    <w:rPr>
                      <w:rFonts w:hint="eastAsia"/>
                      <w:color w:val="1739E7"/>
                      <w:highlight w:val="none"/>
                    </w:rPr>
                    <w:t>月</w:t>
                  </w:r>
                  <w:r>
                    <w:rPr>
                      <w:rFonts w:hint="eastAsia"/>
                      <w:color w:val="1739E7"/>
                      <w:highlight w:val="none"/>
                      <w:lang w:val="en-US" w:eastAsia="zh-CN"/>
                    </w:rPr>
                    <w:t>30</w:t>
                  </w:r>
                  <w:r>
                    <w:rPr>
                      <w:rFonts w:hint="eastAsia"/>
                      <w:color w:val="1739E7"/>
                      <w:highlight w:val="none"/>
                    </w:rPr>
                    <w:t>日</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070" w:type="dxa"/>
                  <w:vAlign w:val="top"/>
                </w:tcPr>
                <w:p>
                  <w:pPr>
                    <w:rPr>
                      <w:rFonts w:hint="eastAsia" w:eastAsia="宋体"/>
                      <w:color w:val="FF0000"/>
                      <w:highlight w:val="none"/>
                      <w:lang w:val="en-US" w:eastAsia="zh-CN"/>
                    </w:rPr>
                  </w:pPr>
                  <w:r>
                    <w:rPr>
                      <w:rFonts w:hint="eastAsia"/>
                      <w:color w:val="FF0000"/>
                      <w:highlight w:val="none"/>
                      <w:lang w:val="en-US" w:eastAsia="zh-CN"/>
                    </w:rPr>
                    <w:t>锅炉（水汽质量检验）</w:t>
                  </w:r>
                </w:p>
              </w:tc>
              <w:tc>
                <w:tcPr>
                  <w:tcW w:w="2420" w:type="dxa"/>
                  <w:vAlign w:val="top"/>
                </w:tcPr>
                <w:p>
                  <w:pPr>
                    <w:rPr>
                      <w:rFonts w:hint="default" w:ascii="Times New Roman" w:hAnsi="Times New Roman" w:eastAsia="宋体" w:cs="Times New Roman"/>
                      <w:color w:val="FF0000"/>
                      <w:kern w:val="2"/>
                      <w:sz w:val="21"/>
                      <w:highlight w:val="none"/>
                      <w:lang w:val="en-US" w:eastAsia="zh-CN" w:bidi="ar-SA"/>
                    </w:rPr>
                  </w:pPr>
                  <w:r>
                    <w:rPr>
                      <w:rFonts w:hint="eastAsia" w:cs="Times New Roman"/>
                      <w:color w:val="FF0000"/>
                      <w:kern w:val="2"/>
                      <w:sz w:val="21"/>
                      <w:highlight w:val="none"/>
                      <w:lang w:val="en-US" w:eastAsia="zh-CN" w:bidi="ar-SA"/>
                    </w:rPr>
                    <w:t>DZL6-1.6-AII</w:t>
                  </w:r>
                </w:p>
              </w:tc>
              <w:tc>
                <w:tcPr>
                  <w:tcW w:w="1880" w:type="dxa"/>
                  <w:vAlign w:val="top"/>
                </w:tcPr>
                <w:p>
                  <w:pPr>
                    <w:rPr>
                      <w:rFonts w:ascii="Times New Roman" w:hAnsi="Times New Roman" w:eastAsia="宋体" w:cs="Times New Roman"/>
                      <w:color w:val="FF0000"/>
                      <w:kern w:val="2"/>
                      <w:sz w:val="21"/>
                      <w:highlight w:val="none"/>
                      <w:lang w:val="en-US" w:eastAsia="zh-CN" w:bidi="ar-SA"/>
                    </w:rPr>
                  </w:pPr>
                </w:p>
              </w:tc>
              <w:tc>
                <w:tcPr>
                  <w:tcW w:w="1240" w:type="dxa"/>
                  <w:vAlign w:val="top"/>
                </w:tcPr>
                <w:p>
                  <w:pPr>
                    <w:ind w:firstLine="420" w:firstLineChars="200"/>
                    <w:rPr>
                      <w:rFonts w:hint="eastAsia"/>
                      <w:color w:val="1739E7"/>
                      <w:highlight w:val="none"/>
                    </w:rPr>
                  </w:pPr>
                </w:p>
              </w:tc>
              <w:tc>
                <w:tcPr>
                  <w:tcW w:w="970" w:type="dxa"/>
                  <w:vAlign w:val="top"/>
                </w:tcPr>
                <w:p>
                  <w:pPr>
                    <w:rPr>
                      <w:rFonts w:ascii="Calibri" w:hAnsi="Calibri"/>
                      <w:color w:val="1739E7"/>
                      <w:highlight w:val="none"/>
                    </w:rPr>
                  </w:pPr>
                </w:p>
              </w:tc>
              <w:tc>
                <w:tcPr>
                  <w:tcW w:w="1140" w:type="dxa"/>
                  <w:vAlign w:val="top"/>
                </w:tcPr>
                <w:p>
                  <w:pPr>
                    <w:rPr>
                      <w:rFonts w:ascii="Calibri" w:hAnsi="Calibri"/>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70" w:type="dxa"/>
                </w:tcPr>
                <w:p>
                  <w:pPr>
                    <w:rPr>
                      <w:rFonts w:hint="eastAsia" w:eastAsia="宋体"/>
                      <w:color w:val="1739E7"/>
                      <w:highlight w:val="none"/>
                      <w:lang w:val="en-US" w:eastAsia="zh-CN"/>
                    </w:rPr>
                  </w:pPr>
                  <w:r>
                    <w:rPr>
                      <w:rFonts w:hint="eastAsia"/>
                      <w:color w:val="1739E7"/>
                      <w:highlight w:val="none"/>
                      <w:lang w:val="en-US" w:eastAsia="zh-CN"/>
                    </w:rPr>
                    <w:t>压力表</w:t>
                  </w:r>
                </w:p>
              </w:tc>
              <w:tc>
                <w:tcPr>
                  <w:tcW w:w="2420" w:type="dxa"/>
                </w:tcPr>
                <w:p>
                  <w:pPr>
                    <w:rPr>
                      <w:rFonts w:hint="default" w:eastAsia="宋体"/>
                      <w:color w:val="1739E7"/>
                      <w:highlight w:val="none"/>
                      <w:lang w:val="en-US" w:eastAsia="zh-CN"/>
                    </w:rPr>
                  </w:pPr>
                  <w:r>
                    <w:rPr>
                      <w:rFonts w:hint="eastAsia"/>
                      <w:color w:val="1739E7"/>
                      <w:highlight w:val="none"/>
                      <w:lang w:val="en-US" w:eastAsia="zh-CN"/>
                    </w:rPr>
                    <w:t>YB-100</w:t>
                  </w:r>
                </w:p>
              </w:tc>
              <w:tc>
                <w:tcPr>
                  <w:tcW w:w="1880" w:type="dxa"/>
                </w:tcPr>
                <w:p>
                  <w:pPr>
                    <w:rPr>
                      <w:color w:val="1739E7"/>
                      <w:highlight w:val="none"/>
                    </w:rPr>
                  </w:pPr>
                  <w:r>
                    <w:rPr>
                      <w:rFonts w:hint="eastAsia"/>
                      <w:color w:val="1739E7"/>
                      <w:highlight w:val="none"/>
                      <w:lang w:val="en-US" w:eastAsia="zh-CN"/>
                    </w:rPr>
                    <w:t>MLJC-Y2021196</w:t>
                  </w:r>
                </w:p>
              </w:tc>
              <w:tc>
                <w:tcPr>
                  <w:tcW w:w="1240" w:type="dxa"/>
                  <w:vAlign w:val="top"/>
                </w:tcPr>
                <w:p>
                  <w:pPr>
                    <w:rPr>
                      <w:rFonts w:hint="eastAsia"/>
                      <w:color w:val="1739E7"/>
                      <w:highlight w:val="none"/>
                    </w:rPr>
                  </w:pPr>
                  <w:r>
                    <w:rPr>
                      <w:rFonts w:hint="eastAsia"/>
                      <w:color w:val="1739E7"/>
                      <w:highlight w:val="none"/>
                      <w:lang w:val="en-US" w:eastAsia="zh-CN"/>
                    </w:rPr>
                    <w:t>2021</w:t>
                  </w:r>
                  <w:r>
                    <w:rPr>
                      <w:rFonts w:hint="eastAsia"/>
                      <w:color w:val="1739E7"/>
                      <w:highlight w:val="none"/>
                    </w:rPr>
                    <w:t>年</w:t>
                  </w:r>
                  <w:r>
                    <w:rPr>
                      <w:rFonts w:hint="eastAsia"/>
                      <w:color w:val="1739E7"/>
                      <w:highlight w:val="none"/>
                      <w:lang w:val="en-US" w:eastAsia="zh-CN"/>
                    </w:rPr>
                    <w:t>7</w:t>
                  </w:r>
                  <w:r>
                    <w:rPr>
                      <w:rFonts w:hint="eastAsia"/>
                      <w:color w:val="1739E7"/>
                      <w:highlight w:val="none"/>
                    </w:rPr>
                    <w:t>月</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70" w:type="dxa"/>
                </w:tcPr>
                <w:p>
                  <w:pPr>
                    <w:rPr>
                      <w:rFonts w:hint="eastAsia"/>
                      <w:color w:val="1739E7"/>
                      <w:highlight w:val="none"/>
                      <w:lang w:val="en-US" w:eastAsia="zh-CN"/>
                    </w:rPr>
                  </w:pPr>
                  <w:r>
                    <w:rPr>
                      <w:rFonts w:hint="eastAsia"/>
                      <w:color w:val="1739E7"/>
                      <w:highlight w:val="none"/>
                      <w:lang w:val="en-US" w:eastAsia="zh-CN"/>
                    </w:rPr>
                    <w:t>压力表</w:t>
                  </w:r>
                </w:p>
              </w:tc>
              <w:tc>
                <w:tcPr>
                  <w:tcW w:w="2420" w:type="dxa"/>
                </w:tcPr>
                <w:p>
                  <w:pPr>
                    <w:rPr>
                      <w:rFonts w:hint="eastAsia"/>
                      <w:color w:val="1739E7"/>
                      <w:highlight w:val="none"/>
                      <w:lang w:val="en-US" w:eastAsia="zh-CN"/>
                    </w:rPr>
                  </w:pPr>
                  <w:r>
                    <w:rPr>
                      <w:rFonts w:hint="eastAsia"/>
                      <w:color w:val="1739E7"/>
                      <w:highlight w:val="none"/>
                      <w:lang w:val="en-US" w:eastAsia="zh-CN"/>
                    </w:rPr>
                    <w:t>YB-100</w:t>
                  </w:r>
                </w:p>
              </w:tc>
              <w:tc>
                <w:tcPr>
                  <w:tcW w:w="1880" w:type="dxa"/>
                </w:tcPr>
                <w:p>
                  <w:pPr>
                    <w:rPr>
                      <w:rFonts w:hint="eastAsia"/>
                      <w:color w:val="1739E7"/>
                      <w:highlight w:val="none"/>
                      <w:lang w:val="en-US" w:eastAsia="zh-CN"/>
                    </w:rPr>
                  </w:pPr>
                  <w:r>
                    <w:rPr>
                      <w:rFonts w:hint="eastAsia"/>
                      <w:color w:val="1739E7"/>
                      <w:highlight w:val="none"/>
                      <w:lang w:val="en-US" w:eastAsia="zh-CN"/>
                    </w:rPr>
                    <w:t>MLJC-Y2021197</w:t>
                  </w:r>
                </w:p>
              </w:tc>
              <w:tc>
                <w:tcPr>
                  <w:tcW w:w="1240" w:type="dxa"/>
                  <w:vAlign w:val="top"/>
                </w:tcPr>
                <w:p>
                  <w:pPr>
                    <w:rPr>
                      <w:rFonts w:hint="eastAsia"/>
                      <w:color w:val="1739E7"/>
                      <w:highlight w:val="none"/>
                      <w:lang w:val="en-US" w:eastAsia="zh-CN"/>
                    </w:rPr>
                  </w:pPr>
                  <w:r>
                    <w:rPr>
                      <w:rFonts w:hint="eastAsia"/>
                      <w:color w:val="1739E7"/>
                      <w:highlight w:val="none"/>
                      <w:lang w:val="en-US" w:eastAsia="zh-CN"/>
                    </w:rPr>
                    <w:t>2021</w:t>
                  </w:r>
                  <w:r>
                    <w:rPr>
                      <w:rFonts w:hint="eastAsia"/>
                      <w:color w:val="1739E7"/>
                      <w:highlight w:val="none"/>
                    </w:rPr>
                    <w:t>年</w:t>
                  </w:r>
                  <w:r>
                    <w:rPr>
                      <w:rFonts w:hint="eastAsia"/>
                      <w:color w:val="1739E7"/>
                      <w:highlight w:val="none"/>
                      <w:lang w:val="en-US" w:eastAsia="zh-CN"/>
                    </w:rPr>
                    <w:t>7</w:t>
                  </w:r>
                  <w:r>
                    <w:rPr>
                      <w:rFonts w:hint="eastAsia"/>
                      <w:color w:val="1739E7"/>
                      <w:highlight w:val="none"/>
                    </w:rPr>
                    <w:t>月</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70" w:type="dxa"/>
                </w:tcPr>
                <w:p>
                  <w:pPr>
                    <w:rPr>
                      <w:rFonts w:hint="eastAsia"/>
                      <w:color w:val="1739E7"/>
                      <w:highlight w:val="none"/>
                      <w:lang w:val="en-US" w:eastAsia="zh-CN"/>
                    </w:rPr>
                  </w:pPr>
                  <w:r>
                    <w:rPr>
                      <w:rFonts w:hint="eastAsia"/>
                      <w:color w:val="1739E7"/>
                      <w:highlight w:val="none"/>
                      <w:lang w:val="en-US" w:eastAsia="zh-CN"/>
                    </w:rPr>
                    <w:t>压力表</w:t>
                  </w:r>
                </w:p>
              </w:tc>
              <w:tc>
                <w:tcPr>
                  <w:tcW w:w="2420" w:type="dxa"/>
                </w:tcPr>
                <w:p>
                  <w:pPr>
                    <w:rPr>
                      <w:rFonts w:hint="eastAsia"/>
                      <w:color w:val="1739E7"/>
                      <w:highlight w:val="none"/>
                      <w:lang w:val="en-US" w:eastAsia="zh-CN"/>
                    </w:rPr>
                  </w:pPr>
                  <w:r>
                    <w:rPr>
                      <w:rFonts w:hint="eastAsia"/>
                      <w:color w:val="1739E7"/>
                      <w:highlight w:val="none"/>
                      <w:lang w:val="en-US" w:eastAsia="zh-CN"/>
                    </w:rPr>
                    <w:t>YB-100</w:t>
                  </w:r>
                </w:p>
              </w:tc>
              <w:tc>
                <w:tcPr>
                  <w:tcW w:w="1880" w:type="dxa"/>
                </w:tcPr>
                <w:p>
                  <w:pPr>
                    <w:rPr>
                      <w:rFonts w:hint="eastAsia"/>
                      <w:color w:val="1739E7"/>
                      <w:highlight w:val="none"/>
                      <w:lang w:val="en-US" w:eastAsia="zh-CN"/>
                    </w:rPr>
                  </w:pPr>
                  <w:r>
                    <w:rPr>
                      <w:rFonts w:hint="eastAsia"/>
                      <w:color w:val="1739E7"/>
                      <w:highlight w:val="none"/>
                      <w:lang w:val="en-US" w:eastAsia="zh-CN"/>
                    </w:rPr>
                    <w:t>MLJC-Y2021198</w:t>
                  </w:r>
                </w:p>
              </w:tc>
              <w:tc>
                <w:tcPr>
                  <w:tcW w:w="1240" w:type="dxa"/>
                  <w:vAlign w:val="top"/>
                </w:tcPr>
                <w:p>
                  <w:pPr>
                    <w:rPr>
                      <w:rFonts w:hint="eastAsia"/>
                      <w:color w:val="1739E7"/>
                      <w:highlight w:val="none"/>
                      <w:lang w:val="en-US" w:eastAsia="zh-CN"/>
                    </w:rPr>
                  </w:pPr>
                  <w:r>
                    <w:rPr>
                      <w:rFonts w:hint="eastAsia"/>
                      <w:color w:val="1739E7"/>
                      <w:highlight w:val="none"/>
                      <w:lang w:val="en-US" w:eastAsia="zh-CN"/>
                    </w:rPr>
                    <w:t>2021</w:t>
                  </w:r>
                  <w:r>
                    <w:rPr>
                      <w:rFonts w:hint="eastAsia"/>
                      <w:color w:val="1739E7"/>
                      <w:highlight w:val="none"/>
                    </w:rPr>
                    <w:t>年</w:t>
                  </w:r>
                  <w:r>
                    <w:rPr>
                      <w:rFonts w:hint="eastAsia"/>
                      <w:color w:val="1739E7"/>
                      <w:highlight w:val="none"/>
                      <w:lang w:val="en-US" w:eastAsia="zh-CN"/>
                    </w:rPr>
                    <w:t>7</w:t>
                  </w:r>
                  <w:r>
                    <w:rPr>
                      <w:rFonts w:hint="eastAsia"/>
                      <w:color w:val="1739E7"/>
                      <w:highlight w:val="none"/>
                    </w:rPr>
                    <w:t>月</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70" w:type="dxa"/>
                </w:tcPr>
                <w:p>
                  <w:pPr>
                    <w:rPr>
                      <w:rFonts w:hint="eastAsia"/>
                      <w:color w:val="1739E7"/>
                      <w:highlight w:val="none"/>
                      <w:lang w:val="en-US" w:eastAsia="zh-CN"/>
                    </w:rPr>
                  </w:pPr>
                  <w:r>
                    <w:rPr>
                      <w:rFonts w:hint="eastAsia"/>
                      <w:color w:val="1739E7"/>
                      <w:highlight w:val="none"/>
                      <w:lang w:val="en-US" w:eastAsia="zh-CN"/>
                    </w:rPr>
                    <w:t>压力表</w:t>
                  </w:r>
                </w:p>
              </w:tc>
              <w:tc>
                <w:tcPr>
                  <w:tcW w:w="2420" w:type="dxa"/>
                </w:tcPr>
                <w:p>
                  <w:pPr>
                    <w:rPr>
                      <w:rFonts w:hint="eastAsia"/>
                      <w:color w:val="1739E7"/>
                      <w:highlight w:val="none"/>
                      <w:lang w:val="en-US" w:eastAsia="zh-CN"/>
                    </w:rPr>
                  </w:pPr>
                  <w:r>
                    <w:rPr>
                      <w:rFonts w:hint="eastAsia"/>
                      <w:color w:val="1739E7"/>
                      <w:highlight w:val="none"/>
                      <w:lang w:val="en-US" w:eastAsia="zh-CN"/>
                    </w:rPr>
                    <w:t>YB-100</w:t>
                  </w:r>
                </w:p>
              </w:tc>
              <w:tc>
                <w:tcPr>
                  <w:tcW w:w="1880" w:type="dxa"/>
                </w:tcPr>
                <w:p>
                  <w:pPr>
                    <w:rPr>
                      <w:rFonts w:hint="eastAsia"/>
                      <w:color w:val="1739E7"/>
                      <w:highlight w:val="none"/>
                      <w:lang w:val="en-US" w:eastAsia="zh-CN"/>
                    </w:rPr>
                  </w:pPr>
                  <w:r>
                    <w:rPr>
                      <w:rFonts w:hint="eastAsia"/>
                      <w:color w:val="1739E7"/>
                      <w:highlight w:val="none"/>
                      <w:lang w:val="en-US" w:eastAsia="zh-CN"/>
                    </w:rPr>
                    <w:t>MLJC-Y2021199</w:t>
                  </w:r>
                </w:p>
              </w:tc>
              <w:tc>
                <w:tcPr>
                  <w:tcW w:w="1240" w:type="dxa"/>
                  <w:vAlign w:val="top"/>
                </w:tcPr>
                <w:p>
                  <w:pPr>
                    <w:rPr>
                      <w:rFonts w:hint="eastAsia"/>
                      <w:color w:val="1739E7"/>
                      <w:highlight w:val="none"/>
                      <w:lang w:val="en-US" w:eastAsia="zh-CN"/>
                    </w:rPr>
                  </w:pPr>
                  <w:r>
                    <w:rPr>
                      <w:rFonts w:hint="eastAsia"/>
                      <w:color w:val="1739E7"/>
                      <w:highlight w:val="none"/>
                      <w:lang w:val="en-US" w:eastAsia="zh-CN"/>
                    </w:rPr>
                    <w:t>2021</w:t>
                  </w:r>
                  <w:r>
                    <w:rPr>
                      <w:rFonts w:hint="eastAsia"/>
                      <w:color w:val="1739E7"/>
                      <w:highlight w:val="none"/>
                    </w:rPr>
                    <w:t>年</w:t>
                  </w:r>
                  <w:r>
                    <w:rPr>
                      <w:rFonts w:hint="eastAsia"/>
                      <w:color w:val="1739E7"/>
                      <w:highlight w:val="none"/>
                      <w:lang w:val="en-US" w:eastAsia="zh-CN"/>
                    </w:rPr>
                    <w:t>7</w:t>
                  </w:r>
                  <w:r>
                    <w:rPr>
                      <w:rFonts w:hint="eastAsia"/>
                      <w:color w:val="1739E7"/>
                      <w:highlight w:val="none"/>
                    </w:rPr>
                    <w:t>月</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2070" w:type="dxa"/>
                </w:tcPr>
                <w:p>
                  <w:pPr>
                    <w:rPr>
                      <w:rFonts w:hint="eastAsia"/>
                      <w:color w:val="1739E7"/>
                      <w:highlight w:val="none"/>
                    </w:rPr>
                  </w:pPr>
                  <w:r>
                    <w:rPr>
                      <w:rFonts w:hint="eastAsia"/>
                      <w:color w:val="1739E7"/>
                      <w:highlight w:val="none"/>
                      <w:lang w:val="en-US" w:eastAsia="zh-CN"/>
                    </w:rPr>
                    <w:t>压力表</w:t>
                  </w:r>
                </w:p>
              </w:tc>
              <w:tc>
                <w:tcPr>
                  <w:tcW w:w="2420" w:type="dxa"/>
                </w:tcPr>
                <w:p>
                  <w:pPr>
                    <w:rPr>
                      <w:color w:val="1739E7"/>
                      <w:highlight w:val="none"/>
                    </w:rPr>
                  </w:pPr>
                  <w:r>
                    <w:rPr>
                      <w:rFonts w:hint="eastAsia"/>
                      <w:color w:val="1739E7"/>
                      <w:highlight w:val="none"/>
                      <w:lang w:val="en-US" w:eastAsia="zh-CN"/>
                    </w:rPr>
                    <w:t>YB-100</w:t>
                  </w:r>
                </w:p>
              </w:tc>
              <w:tc>
                <w:tcPr>
                  <w:tcW w:w="1880" w:type="dxa"/>
                </w:tcPr>
                <w:p>
                  <w:pPr>
                    <w:rPr>
                      <w:rFonts w:hint="default"/>
                      <w:color w:val="1739E7"/>
                      <w:highlight w:val="none"/>
                      <w:lang w:val="en-US"/>
                    </w:rPr>
                  </w:pPr>
                  <w:r>
                    <w:rPr>
                      <w:rFonts w:hint="eastAsia"/>
                      <w:color w:val="1739E7"/>
                      <w:highlight w:val="none"/>
                      <w:lang w:val="en-US" w:eastAsia="zh-CN"/>
                    </w:rPr>
                    <w:t>MLJC-Y2021200</w:t>
                  </w:r>
                </w:p>
              </w:tc>
              <w:tc>
                <w:tcPr>
                  <w:tcW w:w="1240" w:type="dxa"/>
                  <w:vAlign w:val="top"/>
                </w:tcPr>
                <w:p>
                  <w:pPr>
                    <w:rPr>
                      <w:rFonts w:hint="eastAsia"/>
                      <w:color w:val="1739E7"/>
                      <w:highlight w:val="none"/>
                    </w:rPr>
                  </w:pPr>
                  <w:r>
                    <w:rPr>
                      <w:rFonts w:hint="eastAsia"/>
                      <w:color w:val="1739E7"/>
                      <w:highlight w:val="none"/>
                      <w:lang w:val="en-US" w:eastAsia="zh-CN"/>
                    </w:rPr>
                    <w:t>2021</w:t>
                  </w:r>
                  <w:r>
                    <w:rPr>
                      <w:rFonts w:hint="eastAsia"/>
                      <w:color w:val="1739E7"/>
                      <w:highlight w:val="none"/>
                    </w:rPr>
                    <w:t>年</w:t>
                  </w:r>
                  <w:r>
                    <w:rPr>
                      <w:rFonts w:hint="eastAsia"/>
                      <w:color w:val="1739E7"/>
                      <w:highlight w:val="none"/>
                      <w:lang w:val="en-US" w:eastAsia="zh-CN"/>
                    </w:rPr>
                    <w:t>7</w:t>
                  </w:r>
                  <w:r>
                    <w:rPr>
                      <w:rFonts w:hint="eastAsia"/>
                      <w:color w:val="1739E7"/>
                      <w:highlight w:val="none"/>
                    </w:rPr>
                    <w:t>月</w:t>
                  </w:r>
                </w:p>
              </w:tc>
              <w:tc>
                <w:tcPr>
                  <w:tcW w:w="97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有效  </w:t>
                  </w:r>
                  <w:r>
                    <w:rPr>
                      <w:rFonts w:ascii="Calibri" w:hAnsi="Calibri"/>
                      <w:color w:val="1739E7"/>
                      <w:highlight w:val="none"/>
                    </w:rPr>
                    <w:t>□</w:t>
                  </w:r>
                  <w:r>
                    <w:rPr>
                      <w:rFonts w:hint="eastAsia"/>
                      <w:color w:val="1739E7"/>
                      <w:highlight w:val="none"/>
                    </w:rPr>
                    <w:t>过期</w:t>
                  </w:r>
                </w:p>
              </w:tc>
              <w:tc>
                <w:tcPr>
                  <w:tcW w:w="1140" w:type="dxa"/>
                  <w:vAlign w:val="top"/>
                </w:tcPr>
                <w:p>
                  <w:pPr>
                    <w:rPr>
                      <w:rFonts w:ascii="Calibri" w:hAnsi="Calibri"/>
                      <w:color w:val="1739E7"/>
                      <w:highlight w:val="none"/>
                    </w:rPr>
                  </w:pPr>
                  <w:r>
                    <w:rPr>
                      <w:rFonts w:ascii="Calibri" w:hAnsi="Calibri"/>
                      <w:color w:val="1739E7"/>
                      <w:highlight w:val="none"/>
                    </w:rPr>
                    <w:sym w:font="Wingdings 2" w:char="0052"/>
                  </w:r>
                  <w:r>
                    <w:rPr>
                      <w:rFonts w:hint="eastAsia"/>
                      <w:color w:val="1739E7"/>
                      <w:highlight w:val="none"/>
                    </w:rPr>
                    <w:t xml:space="preserve">有  </w:t>
                  </w:r>
                  <w:r>
                    <w:rPr>
                      <w:rFonts w:ascii="Calibri" w:hAnsi="Calibri"/>
                      <w:color w:val="1739E7"/>
                      <w:highlight w:val="none"/>
                    </w:rPr>
                    <w:t>□</w:t>
                  </w:r>
                  <w:r>
                    <w:rPr>
                      <w:rFonts w:hint="eastAsia"/>
                      <w:color w:val="1739E7"/>
                      <w:highlight w:val="none"/>
                    </w:rPr>
                    <w:t>无</w:t>
                  </w:r>
                </w:p>
              </w:tc>
            </w:tr>
          </w:tbl>
          <w:p>
            <w:pPr>
              <w:rPr>
                <w:color w:val="1739E7"/>
              </w:rPr>
            </w:pPr>
          </w:p>
          <w:p>
            <w:pPr>
              <w:pStyle w:val="2"/>
            </w:pPr>
          </w:p>
          <w:p>
            <w:pPr>
              <w:pStyle w:val="2"/>
              <w:ind w:left="0" w:leftChars="0" w:firstLine="0" w:firstLineChars="0"/>
              <w:rPr>
                <w:rFonts w:hint="default" w:eastAsia="宋体"/>
                <w:color w:val="1739E7"/>
                <w:lang w:val="en-US" w:eastAsia="zh-CN"/>
              </w:rPr>
            </w:pPr>
            <w:r>
              <w:rPr>
                <w:rFonts w:hint="eastAsia"/>
                <w:color w:val="1739E7"/>
                <w:lang w:val="en-US" w:eastAsia="zh-CN"/>
              </w:rPr>
              <w:t>压力表：</w:t>
            </w:r>
          </w:p>
          <w:p>
            <w:pPr>
              <w:pStyle w:val="2"/>
              <w:ind w:left="0" w:leftChars="0" w:firstLine="0" w:firstLineChars="0"/>
              <w:rPr>
                <w:color w:val="1739E7"/>
              </w:rPr>
            </w:pPr>
          </w:p>
          <w:tbl>
            <w:tblPr>
              <w:tblStyle w:val="9"/>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gridCol w:w="1290"/>
              <w:gridCol w:w="2300"/>
              <w:gridCol w:w="2100"/>
              <w:gridCol w:w="132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gridSpan w:val="2"/>
                  <w:shd w:val="clear" w:color="auto" w:fill="auto"/>
                </w:tcPr>
                <w:p>
                  <w:pPr>
                    <w:rPr>
                      <w:b/>
                      <w:color w:val="1739E7"/>
                    </w:rPr>
                  </w:pPr>
                  <w:r>
                    <w:rPr>
                      <w:rFonts w:hint="eastAsia"/>
                      <w:b/>
                      <w:color w:val="1739E7"/>
                    </w:rPr>
                    <w:t>特种设备维护保养</w:t>
                  </w:r>
                </w:p>
              </w:tc>
              <w:tc>
                <w:tcPr>
                  <w:tcW w:w="2300" w:type="dxa"/>
                  <w:shd w:val="clear" w:color="auto" w:fill="auto"/>
                </w:tcPr>
                <w:p>
                  <w:pPr>
                    <w:rPr>
                      <w:color w:val="1739E7"/>
                    </w:rPr>
                  </w:pPr>
                </w:p>
              </w:tc>
              <w:tc>
                <w:tcPr>
                  <w:tcW w:w="2100" w:type="dxa"/>
                  <w:shd w:val="clear" w:color="auto" w:fill="auto"/>
                </w:tcPr>
                <w:p>
                  <w:pPr>
                    <w:rPr>
                      <w:color w:val="1739E7"/>
                    </w:rPr>
                  </w:pPr>
                </w:p>
              </w:tc>
              <w:tc>
                <w:tcPr>
                  <w:tcW w:w="1320" w:type="dxa"/>
                  <w:shd w:val="clear" w:color="auto" w:fill="auto"/>
                </w:tcPr>
                <w:p>
                  <w:pPr>
                    <w:rPr>
                      <w:rFonts w:ascii="Calibri" w:hAnsi="Calibri"/>
                      <w:color w:val="1739E7"/>
                    </w:rPr>
                  </w:pPr>
                </w:p>
              </w:tc>
              <w:tc>
                <w:tcPr>
                  <w:tcW w:w="1240" w:type="dxa"/>
                  <w:shd w:val="clear" w:color="auto" w:fill="auto"/>
                </w:tcPr>
                <w:p>
                  <w:pPr>
                    <w:rPr>
                      <w:rFonts w:ascii="Calibri" w:hAnsi="Calibri"/>
                      <w:color w:val="1739E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60" w:type="dxa"/>
                  <w:gridSpan w:val="2"/>
                  <w:vMerge w:val="restart"/>
                </w:tcPr>
                <w:p>
                  <w:pPr>
                    <w:rPr>
                      <w:color w:val="1739E7"/>
                      <w:highlight w:val="none"/>
                    </w:rPr>
                  </w:pPr>
                  <w:r>
                    <w:rPr>
                      <w:rFonts w:hint="eastAsia"/>
                      <w:color w:val="1739E7"/>
                      <w:highlight w:val="none"/>
                    </w:rPr>
                    <w:t>自检</w:t>
                  </w:r>
                </w:p>
              </w:tc>
              <w:tc>
                <w:tcPr>
                  <w:tcW w:w="2300" w:type="dxa"/>
                </w:tcPr>
                <w:p>
                  <w:pPr>
                    <w:rPr>
                      <w:color w:val="1739E7"/>
                      <w:highlight w:val="none"/>
                    </w:rPr>
                  </w:pPr>
                  <w:r>
                    <w:rPr>
                      <w:rFonts w:hint="eastAsia"/>
                      <w:color w:val="1739E7"/>
                      <w:highlight w:val="none"/>
                    </w:rPr>
                    <w:t>维保计划</w:t>
                  </w:r>
                </w:p>
              </w:tc>
              <w:tc>
                <w:tcPr>
                  <w:tcW w:w="2100" w:type="dxa"/>
                </w:tcPr>
                <w:p>
                  <w:pPr>
                    <w:rPr>
                      <w:color w:val="1739E7"/>
                      <w:highlight w:val="none"/>
                    </w:rPr>
                  </w:pPr>
                  <w:r>
                    <w:rPr>
                      <w:rFonts w:hint="eastAsia" w:ascii="Calibri" w:hAnsi="Calibri"/>
                      <w:color w:val="1739E7"/>
                      <w:highlight w:val="none"/>
                    </w:rPr>
                    <w:sym w:font="Wingdings 2" w:char="0052"/>
                  </w:r>
                  <w:r>
                    <w:rPr>
                      <w:rFonts w:hint="eastAsia"/>
                      <w:color w:val="1739E7"/>
                      <w:highlight w:val="none"/>
                    </w:rPr>
                    <w:t xml:space="preserve">有  </w:t>
                  </w:r>
                  <w:r>
                    <w:rPr>
                      <w:rFonts w:hint="eastAsia" w:ascii="Calibri" w:hAnsi="Calibri"/>
                      <w:color w:val="1739E7"/>
                      <w:highlight w:val="none"/>
                    </w:rPr>
                    <w:t>□</w:t>
                  </w:r>
                  <w:r>
                    <w:rPr>
                      <w:rFonts w:hint="eastAsia"/>
                      <w:color w:val="1739E7"/>
                      <w:highlight w:val="none"/>
                    </w:rPr>
                    <w:t>无</w:t>
                  </w:r>
                </w:p>
              </w:tc>
              <w:tc>
                <w:tcPr>
                  <w:tcW w:w="1320" w:type="dxa"/>
                </w:tcPr>
                <w:p>
                  <w:pPr>
                    <w:rPr>
                      <w:rFonts w:ascii="Calibri" w:hAnsi="Calibri"/>
                      <w:color w:val="1739E7"/>
                      <w:highlight w:val="none"/>
                    </w:rPr>
                  </w:pPr>
                </w:p>
              </w:tc>
              <w:tc>
                <w:tcPr>
                  <w:tcW w:w="1240" w:type="dxa"/>
                </w:tcPr>
                <w:p>
                  <w:pPr>
                    <w:rPr>
                      <w:rFonts w:ascii="Calibri" w:hAnsi="Calibri"/>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660" w:type="dxa"/>
                  <w:gridSpan w:val="2"/>
                  <w:vMerge w:val="continue"/>
                </w:tcPr>
                <w:p>
                  <w:pPr>
                    <w:rPr>
                      <w:color w:val="1739E7"/>
                      <w:highlight w:val="none"/>
                    </w:rPr>
                  </w:pPr>
                </w:p>
              </w:tc>
              <w:tc>
                <w:tcPr>
                  <w:tcW w:w="2300" w:type="dxa"/>
                </w:tcPr>
                <w:p>
                  <w:pPr>
                    <w:rPr>
                      <w:color w:val="1739E7"/>
                      <w:highlight w:val="none"/>
                    </w:rPr>
                  </w:pPr>
                </w:p>
              </w:tc>
              <w:tc>
                <w:tcPr>
                  <w:tcW w:w="2100" w:type="dxa"/>
                </w:tcPr>
                <w:p>
                  <w:pPr>
                    <w:rPr>
                      <w:rFonts w:ascii="Calibri" w:hAnsi="Calibri"/>
                      <w:color w:val="1739E7"/>
                      <w:highlight w:val="none"/>
                    </w:rPr>
                  </w:pPr>
                  <w:r>
                    <w:rPr>
                      <w:rFonts w:hint="eastAsia"/>
                      <w:color w:val="1739E7"/>
                      <w:highlight w:val="none"/>
                    </w:rPr>
                    <w:t>维保日期</w:t>
                  </w:r>
                </w:p>
              </w:tc>
              <w:tc>
                <w:tcPr>
                  <w:tcW w:w="1320" w:type="dxa"/>
                </w:tcPr>
                <w:p>
                  <w:pPr>
                    <w:rPr>
                      <w:rFonts w:ascii="Calibri" w:hAnsi="Calibri"/>
                      <w:color w:val="1739E7"/>
                      <w:highlight w:val="none"/>
                    </w:rPr>
                  </w:pPr>
                  <w:r>
                    <w:rPr>
                      <w:rFonts w:hint="eastAsia" w:ascii="Calibri" w:hAnsi="Calibri"/>
                      <w:color w:val="1739E7"/>
                      <w:highlight w:val="none"/>
                    </w:rPr>
                    <w:t>维修内容</w:t>
                  </w:r>
                </w:p>
              </w:tc>
              <w:tc>
                <w:tcPr>
                  <w:tcW w:w="1240" w:type="dxa"/>
                </w:tcPr>
                <w:p>
                  <w:pPr>
                    <w:rPr>
                      <w:rFonts w:ascii="Calibri" w:hAnsi="Calibri"/>
                      <w:color w:val="1739E7"/>
                      <w:highlight w:val="none"/>
                    </w:rPr>
                  </w:pPr>
                  <w:r>
                    <w:rPr>
                      <w:rFonts w:hint="eastAsia" w:ascii="Calibri" w:hAnsi="Calibri"/>
                      <w:color w:val="1739E7"/>
                      <w:highlight w:val="none"/>
                    </w:rPr>
                    <w:t>验证结果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60" w:type="dxa"/>
                  <w:gridSpan w:val="2"/>
                  <w:vMerge w:val="continue"/>
                </w:tcPr>
                <w:p>
                  <w:pPr>
                    <w:rPr>
                      <w:color w:val="1739E7"/>
                      <w:highlight w:val="none"/>
                    </w:rPr>
                  </w:pPr>
                </w:p>
              </w:tc>
              <w:tc>
                <w:tcPr>
                  <w:tcW w:w="2300" w:type="dxa"/>
                </w:tcPr>
                <w:p>
                  <w:pPr>
                    <w:rPr>
                      <w:color w:val="1739E7"/>
                      <w:highlight w:val="none"/>
                    </w:rPr>
                  </w:pPr>
                  <w:r>
                    <w:rPr>
                      <w:rFonts w:hint="eastAsia"/>
                      <w:color w:val="1739E7"/>
                      <w:highlight w:val="none"/>
                    </w:rPr>
                    <w:t>维保记录</w:t>
                  </w:r>
                </w:p>
              </w:tc>
              <w:tc>
                <w:tcPr>
                  <w:tcW w:w="2100" w:type="dxa"/>
                </w:tcPr>
                <w:p>
                  <w:pPr>
                    <w:rPr>
                      <w:rFonts w:hint="default" w:eastAsia="宋体"/>
                      <w:color w:val="1739E7"/>
                      <w:highlight w:val="none"/>
                      <w:lang w:val="en-US" w:eastAsia="zh-CN"/>
                    </w:rPr>
                  </w:pPr>
                  <w:r>
                    <w:rPr>
                      <w:rFonts w:hint="eastAsia"/>
                      <w:color w:val="1739E7"/>
                      <w:highlight w:val="none"/>
                      <w:lang w:val="en-US" w:eastAsia="zh-CN"/>
                    </w:rPr>
                    <w:t>2021-04-16</w:t>
                  </w:r>
                </w:p>
              </w:tc>
              <w:tc>
                <w:tcPr>
                  <w:tcW w:w="1320" w:type="dxa"/>
                </w:tcPr>
                <w:p>
                  <w:pPr>
                    <w:rPr>
                      <w:rFonts w:hint="default" w:ascii="Calibri" w:hAnsi="Calibri" w:eastAsia="宋体"/>
                      <w:color w:val="1739E7"/>
                      <w:highlight w:val="none"/>
                      <w:lang w:val="en-US" w:eastAsia="zh-CN"/>
                    </w:rPr>
                  </w:pPr>
                  <w:r>
                    <w:rPr>
                      <w:rFonts w:hint="eastAsia" w:ascii="Calibri" w:hAnsi="Calibri"/>
                      <w:color w:val="1739E7"/>
                      <w:highlight w:val="none"/>
                      <w:lang w:val="en-US" w:eastAsia="zh-CN"/>
                    </w:rPr>
                    <w:t>更换机油，维修刹车、更换油缸油封</w:t>
                  </w:r>
                </w:p>
              </w:tc>
              <w:tc>
                <w:tcPr>
                  <w:tcW w:w="1240" w:type="dxa"/>
                </w:tcPr>
                <w:p>
                  <w:pPr>
                    <w:rPr>
                      <w:rFonts w:hint="eastAsia" w:ascii="Calibri" w:hAnsi="Calibri" w:eastAsia="宋体"/>
                      <w:color w:val="1739E7"/>
                      <w:highlight w:val="none"/>
                      <w:lang w:val="en-US" w:eastAsia="zh-CN"/>
                    </w:rPr>
                  </w:pPr>
                  <w:r>
                    <w:rPr>
                      <w:rFonts w:hint="eastAsia" w:ascii="Calibri" w:hAnsi="Calibri"/>
                      <w:color w:val="1739E7"/>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660" w:type="dxa"/>
                  <w:gridSpan w:val="2"/>
                  <w:vMerge w:val="continue"/>
                </w:tcPr>
                <w:p>
                  <w:pPr>
                    <w:rPr>
                      <w:color w:val="1739E7"/>
                      <w:highlight w:val="none"/>
                    </w:rPr>
                  </w:pPr>
                </w:p>
              </w:tc>
              <w:tc>
                <w:tcPr>
                  <w:tcW w:w="2300" w:type="dxa"/>
                </w:tcPr>
                <w:p>
                  <w:pPr>
                    <w:rPr>
                      <w:color w:val="1739E7"/>
                      <w:highlight w:val="none"/>
                    </w:rPr>
                  </w:pPr>
                  <w:r>
                    <w:rPr>
                      <w:rFonts w:hint="eastAsia"/>
                      <w:color w:val="1739E7"/>
                      <w:highlight w:val="none"/>
                    </w:rPr>
                    <w:t>维保记录</w:t>
                  </w:r>
                </w:p>
              </w:tc>
              <w:tc>
                <w:tcPr>
                  <w:tcW w:w="2100" w:type="dxa"/>
                </w:tcPr>
                <w:p>
                  <w:pPr>
                    <w:rPr>
                      <w:color w:val="1739E7"/>
                      <w:highlight w:val="none"/>
                    </w:rPr>
                  </w:pPr>
                </w:p>
              </w:tc>
              <w:tc>
                <w:tcPr>
                  <w:tcW w:w="1320" w:type="dxa"/>
                </w:tcPr>
                <w:p>
                  <w:pPr>
                    <w:rPr>
                      <w:rFonts w:ascii="Calibri" w:hAnsi="Calibri"/>
                      <w:color w:val="1739E7"/>
                      <w:highlight w:val="none"/>
                    </w:rPr>
                  </w:pPr>
                </w:p>
              </w:tc>
              <w:tc>
                <w:tcPr>
                  <w:tcW w:w="1240" w:type="dxa"/>
                </w:tcPr>
                <w:p>
                  <w:pPr>
                    <w:rPr>
                      <w:rFonts w:ascii="Calibri" w:hAnsi="Calibri"/>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gridSpan w:val="2"/>
                  <w:vMerge w:val="restart"/>
                </w:tcPr>
                <w:p>
                  <w:pPr>
                    <w:rPr>
                      <w:rFonts w:hint="eastAsia" w:eastAsia="宋体"/>
                      <w:color w:val="1739E7"/>
                      <w:highlight w:val="none"/>
                      <w:lang w:eastAsia="zh-CN"/>
                    </w:rPr>
                  </w:pPr>
                  <w:r>
                    <w:rPr>
                      <w:rFonts w:hint="eastAsia"/>
                      <w:color w:val="1739E7"/>
                      <w:highlight w:val="none"/>
                    </w:rPr>
                    <w:t>外包</w:t>
                  </w:r>
                  <w:r>
                    <w:rPr>
                      <w:rFonts w:hint="eastAsia"/>
                      <w:color w:val="1739E7"/>
                      <w:highlight w:val="none"/>
                      <w:lang w:eastAsia="zh-CN"/>
                    </w:rPr>
                    <w:t>（</w:t>
                  </w:r>
                  <w:r>
                    <w:rPr>
                      <w:rFonts w:hint="eastAsia"/>
                      <w:color w:val="1739E7"/>
                      <w:highlight w:val="none"/>
                      <w:lang w:val="en-US" w:eastAsia="zh-CN"/>
                    </w:rPr>
                    <w:t>不涉及</w:t>
                  </w:r>
                  <w:r>
                    <w:rPr>
                      <w:rFonts w:hint="eastAsia"/>
                      <w:color w:val="1739E7"/>
                      <w:highlight w:val="none"/>
                      <w:lang w:eastAsia="zh-CN"/>
                    </w:rPr>
                    <w:t>）</w:t>
                  </w:r>
                </w:p>
              </w:tc>
              <w:tc>
                <w:tcPr>
                  <w:tcW w:w="2300" w:type="dxa"/>
                </w:tcPr>
                <w:p>
                  <w:pPr>
                    <w:rPr>
                      <w:color w:val="1739E7"/>
                      <w:highlight w:val="none"/>
                    </w:rPr>
                  </w:pPr>
                  <w:r>
                    <w:rPr>
                      <w:rFonts w:hint="eastAsia"/>
                      <w:color w:val="1739E7"/>
                      <w:highlight w:val="none"/>
                    </w:rPr>
                    <w:t>外包方名称：</w:t>
                  </w:r>
                </w:p>
              </w:tc>
              <w:tc>
                <w:tcPr>
                  <w:tcW w:w="2100" w:type="dxa"/>
                </w:tcPr>
                <w:p>
                  <w:pPr>
                    <w:rPr>
                      <w:color w:val="1739E7"/>
                      <w:highlight w:val="none"/>
                    </w:rPr>
                  </w:pPr>
                  <w:r>
                    <w:rPr>
                      <w:rFonts w:hint="eastAsia"/>
                      <w:color w:val="1739E7"/>
                      <w:highlight w:val="none"/>
                    </w:rPr>
                    <w:t>维保合同期限</w:t>
                  </w:r>
                </w:p>
              </w:tc>
              <w:tc>
                <w:tcPr>
                  <w:tcW w:w="1320" w:type="dxa"/>
                </w:tcPr>
                <w:p>
                  <w:pPr>
                    <w:rPr>
                      <w:rFonts w:ascii="Calibri" w:hAnsi="Calibri"/>
                      <w:color w:val="1739E7"/>
                      <w:highlight w:val="none"/>
                    </w:rPr>
                  </w:pPr>
                  <w:r>
                    <w:rPr>
                      <w:rFonts w:hint="eastAsia" w:ascii="Calibri" w:hAnsi="Calibri"/>
                      <w:color w:val="1739E7"/>
                      <w:highlight w:val="none"/>
                    </w:rPr>
                    <w:t>相关资质证书</w:t>
                  </w:r>
                </w:p>
              </w:tc>
              <w:tc>
                <w:tcPr>
                  <w:tcW w:w="1240" w:type="dxa"/>
                </w:tcPr>
                <w:p>
                  <w:pPr>
                    <w:rPr>
                      <w:rFonts w:ascii="Calibri" w:hAnsi="Calibri"/>
                      <w:color w:val="1739E7"/>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gridSpan w:val="2"/>
                  <w:vMerge w:val="continue"/>
                </w:tcPr>
                <w:p>
                  <w:pPr>
                    <w:rPr>
                      <w:color w:val="1739E7"/>
                      <w:highlight w:val="none"/>
                    </w:rPr>
                  </w:pPr>
                </w:p>
              </w:tc>
              <w:tc>
                <w:tcPr>
                  <w:tcW w:w="2300" w:type="dxa"/>
                </w:tcPr>
                <w:p>
                  <w:pPr>
                    <w:rPr>
                      <w:rFonts w:hint="eastAsia" w:eastAsia="宋体"/>
                      <w:color w:val="1739E7"/>
                      <w:highlight w:val="none"/>
                      <w:lang w:eastAsia="zh-CN"/>
                    </w:rPr>
                  </w:pPr>
                  <w:r>
                    <w:rPr>
                      <w:rFonts w:hint="eastAsia"/>
                      <w:color w:val="1739E7"/>
                      <w:highlight w:val="none"/>
                      <w:lang w:eastAsia="zh-CN"/>
                    </w:rPr>
                    <w:t>——</w:t>
                  </w:r>
                </w:p>
              </w:tc>
              <w:tc>
                <w:tcPr>
                  <w:tcW w:w="2100" w:type="dxa"/>
                </w:tcPr>
                <w:p>
                  <w:pPr>
                    <w:ind w:firstLine="630" w:firstLineChars="300"/>
                    <w:rPr>
                      <w:color w:val="1739E7"/>
                      <w:highlight w:val="none"/>
                    </w:rPr>
                  </w:pPr>
                  <w:r>
                    <w:rPr>
                      <w:rFonts w:hint="eastAsia"/>
                      <w:color w:val="1739E7"/>
                      <w:highlight w:val="none"/>
                    </w:rPr>
                    <w:t>至</w:t>
                  </w:r>
                </w:p>
              </w:tc>
              <w:tc>
                <w:tcPr>
                  <w:tcW w:w="1320" w:type="dxa"/>
                </w:tcPr>
                <w:p>
                  <w:pPr>
                    <w:rPr>
                      <w:rFonts w:ascii="Calibri" w:hAnsi="Calibri"/>
                      <w:color w:val="1739E7"/>
                      <w:highlight w:val="none"/>
                    </w:rPr>
                  </w:pPr>
                </w:p>
              </w:tc>
              <w:tc>
                <w:tcPr>
                  <w:tcW w:w="1240" w:type="dxa"/>
                </w:tcPr>
                <w:p>
                  <w:pPr>
                    <w:rPr>
                      <w:rFonts w:ascii="Calibri" w:hAnsi="Calibri"/>
                      <w:color w:val="1739E7"/>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gridSpan w:val="2"/>
                  <w:shd w:val="clear" w:color="auto" w:fill="auto"/>
                </w:tcPr>
                <w:p>
                  <w:pPr>
                    <w:rPr>
                      <w:b/>
                      <w:color w:val="1739E7"/>
                      <w:highlight w:val="none"/>
                    </w:rPr>
                  </w:pPr>
                  <w:r>
                    <w:rPr>
                      <w:rFonts w:hint="eastAsia"/>
                      <w:b/>
                      <w:color w:val="1739E7"/>
                      <w:highlight w:val="none"/>
                    </w:rPr>
                    <w:t>特种设备日常点检</w:t>
                  </w:r>
                </w:p>
              </w:tc>
              <w:tc>
                <w:tcPr>
                  <w:tcW w:w="2300" w:type="dxa"/>
                  <w:shd w:val="clear" w:color="auto" w:fill="auto"/>
                </w:tcPr>
                <w:p>
                  <w:pPr>
                    <w:rPr>
                      <w:color w:val="1739E7"/>
                      <w:highlight w:val="none"/>
                    </w:rPr>
                  </w:pPr>
                </w:p>
              </w:tc>
              <w:tc>
                <w:tcPr>
                  <w:tcW w:w="2100" w:type="dxa"/>
                  <w:shd w:val="clear" w:color="auto" w:fill="auto"/>
                </w:tcPr>
                <w:p>
                  <w:pPr>
                    <w:rPr>
                      <w:color w:val="1739E7"/>
                      <w:highlight w:val="none"/>
                    </w:rPr>
                  </w:pPr>
                </w:p>
              </w:tc>
              <w:tc>
                <w:tcPr>
                  <w:tcW w:w="1320" w:type="dxa"/>
                  <w:shd w:val="clear" w:color="auto" w:fill="auto"/>
                </w:tcPr>
                <w:p>
                  <w:pPr>
                    <w:rPr>
                      <w:rFonts w:ascii="Calibri" w:hAnsi="Calibri"/>
                      <w:color w:val="1739E7"/>
                      <w:highlight w:val="none"/>
                    </w:rPr>
                  </w:pPr>
                </w:p>
              </w:tc>
              <w:tc>
                <w:tcPr>
                  <w:tcW w:w="1240" w:type="dxa"/>
                  <w:shd w:val="clear" w:color="auto" w:fill="auto"/>
                </w:tcPr>
                <w:p>
                  <w:pPr>
                    <w:rPr>
                      <w:rFonts w:ascii="Calibri" w:hAnsi="Calibri"/>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color w:val="1739E7"/>
                      <w:highlight w:val="none"/>
                    </w:rPr>
                  </w:pPr>
                  <w:r>
                    <w:rPr>
                      <w:rFonts w:hint="eastAsia"/>
                      <w:color w:val="1739E7"/>
                      <w:highlight w:val="none"/>
                    </w:rPr>
                    <w:t>抽查设备</w:t>
                  </w:r>
                </w:p>
              </w:tc>
              <w:tc>
                <w:tcPr>
                  <w:tcW w:w="1290" w:type="dxa"/>
                </w:tcPr>
                <w:p>
                  <w:pPr>
                    <w:rPr>
                      <w:color w:val="1739E7"/>
                      <w:highlight w:val="none"/>
                    </w:rPr>
                  </w:pPr>
                  <w:r>
                    <w:rPr>
                      <w:rFonts w:hint="eastAsia"/>
                      <w:color w:val="1739E7"/>
                      <w:highlight w:val="none"/>
                    </w:rPr>
                    <w:t>编号</w:t>
                  </w:r>
                </w:p>
              </w:tc>
              <w:tc>
                <w:tcPr>
                  <w:tcW w:w="2300" w:type="dxa"/>
                </w:tcPr>
                <w:p>
                  <w:pPr>
                    <w:rPr>
                      <w:color w:val="1739E7"/>
                      <w:highlight w:val="none"/>
                    </w:rPr>
                  </w:pPr>
                  <w:r>
                    <w:rPr>
                      <w:rFonts w:hint="eastAsia"/>
                      <w:color w:val="1739E7"/>
                      <w:highlight w:val="none"/>
                    </w:rPr>
                    <w:t>抽查点检记录的月份</w:t>
                  </w:r>
                </w:p>
              </w:tc>
              <w:tc>
                <w:tcPr>
                  <w:tcW w:w="2100" w:type="dxa"/>
                </w:tcPr>
                <w:p>
                  <w:pPr>
                    <w:rPr>
                      <w:color w:val="1739E7"/>
                      <w:highlight w:val="none"/>
                    </w:rPr>
                  </w:pPr>
                  <w:r>
                    <w:rPr>
                      <w:rFonts w:hint="eastAsia"/>
                      <w:color w:val="1739E7"/>
                      <w:highlight w:val="none"/>
                    </w:rPr>
                    <w:t>现场查看设备的完好情况</w:t>
                  </w:r>
                </w:p>
              </w:tc>
              <w:tc>
                <w:tcPr>
                  <w:tcW w:w="1320" w:type="dxa"/>
                </w:tcPr>
                <w:p>
                  <w:pPr>
                    <w:rPr>
                      <w:color w:val="1739E7"/>
                      <w:highlight w:val="none"/>
                    </w:rPr>
                  </w:pPr>
                  <w:r>
                    <w:rPr>
                      <w:rFonts w:hint="eastAsia"/>
                      <w:color w:val="1739E7"/>
                      <w:highlight w:val="none"/>
                    </w:rPr>
                    <w:t>结论</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color w:val="1739E7"/>
                      <w:highlight w:val="none"/>
                    </w:rPr>
                  </w:pPr>
                  <w:r>
                    <w:rPr>
                      <w:rFonts w:hint="eastAsia"/>
                      <w:color w:val="1739E7"/>
                      <w:highlight w:val="none"/>
                    </w:rPr>
                    <w:t>叉车</w:t>
                  </w:r>
                </w:p>
              </w:tc>
              <w:tc>
                <w:tcPr>
                  <w:tcW w:w="1290" w:type="dxa"/>
                  <w:vAlign w:val="top"/>
                </w:tcPr>
                <w:p>
                  <w:pPr>
                    <w:rPr>
                      <w:rFonts w:hint="default" w:ascii="Times New Roman" w:hAnsi="Times New Roman" w:eastAsia="宋体" w:cs="Times New Roman"/>
                      <w:color w:val="1739E7"/>
                      <w:kern w:val="2"/>
                      <w:sz w:val="21"/>
                      <w:highlight w:val="none"/>
                      <w:lang w:val="en-US" w:eastAsia="zh-CN" w:bidi="ar-SA"/>
                    </w:rPr>
                  </w:pPr>
                  <w:r>
                    <w:rPr>
                      <w:rFonts w:hint="eastAsia"/>
                      <w:color w:val="1739E7"/>
                      <w:highlight w:val="none"/>
                      <w:u w:val="single"/>
                      <w:lang w:val="en-US" w:eastAsia="zh-CN"/>
                    </w:rPr>
                    <w:t>120208058</w:t>
                  </w:r>
                </w:p>
              </w:tc>
              <w:tc>
                <w:tcPr>
                  <w:tcW w:w="2300" w:type="dxa"/>
                </w:tcPr>
                <w:p>
                  <w:pPr>
                    <w:pStyle w:val="2"/>
                    <w:ind w:left="0" w:leftChars="0" w:firstLine="0" w:firstLineChars="0"/>
                    <w:jc w:val="left"/>
                    <w:rPr>
                      <w:rFonts w:hint="default" w:eastAsia="宋体"/>
                      <w:lang w:val="en-US" w:eastAsia="zh-CN"/>
                    </w:rPr>
                  </w:pPr>
                  <w:r>
                    <w:rPr>
                      <w:rFonts w:hint="eastAsia"/>
                      <w:b/>
                      <w:bCs/>
                      <w:i/>
                      <w:iCs/>
                      <w:color w:val="1739E7"/>
                      <w:highlight w:val="none"/>
                      <w:lang w:val="en-US" w:eastAsia="zh-CN"/>
                    </w:rPr>
                    <w:t>未提供证据</w:t>
                  </w:r>
                </w:p>
              </w:tc>
              <w:tc>
                <w:tcPr>
                  <w:tcW w:w="2100" w:type="dxa"/>
                </w:tcPr>
                <w:p>
                  <w:pPr>
                    <w:rPr>
                      <w:rFonts w:hint="eastAsia" w:eastAsia="宋体"/>
                      <w:color w:val="1739E7"/>
                      <w:highlight w:val="none"/>
                      <w:lang w:val="en-US" w:eastAsia="zh-CN"/>
                    </w:rPr>
                  </w:pPr>
                  <w:r>
                    <w:rPr>
                      <w:rFonts w:hint="eastAsia"/>
                      <w:color w:val="1739E7"/>
                      <w:highlight w:val="none"/>
                      <w:lang w:val="en-US" w:eastAsia="zh-CN"/>
                    </w:rPr>
                    <w:t>正常</w:t>
                  </w:r>
                </w:p>
              </w:tc>
              <w:tc>
                <w:tcPr>
                  <w:tcW w:w="1320" w:type="dxa"/>
                </w:tcPr>
                <w:p>
                  <w:pPr>
                    <w:rPr>
                      <w:rFonts w:hint="eastAsia"/>
                      <w:color w:val="1739E7"/>
                      <w:highlight w:val="none"/>
                    </w:rPr>
                  </w:pPr>
                  <w:r>
                    <w:rPr>
                      <w:rFonts w:ascii="Calibri" w:hAnsi="Calibri"/>
                      <w:color w:val="1739E7"/>
                      <w:highlight w:val="none"/>
                    </w:rPr>
                    <w:sym w:font="Wingdings 2" w:char="0052"/>
                  </w:r>
                  <w:r>
                    <w:rPr>
                      <w:rFonts w:hint="eastAsia"/>
                      <w:color w:val="1739E7"/>
                      <w:highlight w:val="none"/>
                    </w:rPr>
                    <w:t>完好</w:t>
                  </w:r>
                </w:p>
                <w:p>
                  <w:pPr>
                    <w:rPr>
                      <w:color w:val="1739E7"/>
                      <w:highlight w:val="none"/>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rFonts w:hint="eastAsia"/>
                      <w:color w:val="1739E7"/>
                      <w:highlight w:val="none"/>
                    </w:rPr>
                  </w:pPr>
                  <w:r>
                    <w:rPr>
                      <w:rFonts w:hint="eastAsia"/>
                      <w:color w:val="1739E7"/>
                      <w:highlight w:val="none"/>
                    </w:rPr>
                    <w:t>叉车</w:t>
                  </w:r>
                </w:p>
              </w:tc>
              <w:tc>
                <w:tcPr>
                  <w:tcW w:w="1290" w:type="dxa"/>
                  <w:vAlign w:val="top"/>
                </w:tcPr>
                <w:p>
                  <w:pPr>
                    <w:rPr>
                      <w:rFonts w:hint="eastAsia" w:ascii="Times New Roman" w:hAnsi="Times New Roman" w:eastAsia="宋体" w:cs="Times New Roman"/>
                      <w:color w:val="1739E7"/>
                      <w:kern w:val="2"/>
                      <w:sz w:val="21"/>
                      <w:highlight w:val="none"/>
                      <w:lang w:val="en-US" w:eastAsia="zh-CN" w:bidi="ar-SA"/>
                    </w:rPr>
                  </w:pPr>
                  <w:r>
                    <w:rPr>
                      <w:rFonts w:hint="eastAsia" w:cs="Times New Roman"/>
                      <w:color w:val="1739E7"/>
                      <w:kern w:val="2"/>
                      <w:sz w:val="21"/>
                      <w:highlight w:val="none"/>
                      <w:lang w:val="en-US" w:eastAsia="zh-CN" w:bidi="ar-SA"/>
                    </w:rPr>
                    <w:t>A4AD15729</w:t>
                  </w:r>
                </w:p>
              </w:tc>
              <w:tc>
                <w:tcPr>
                  <w:tcW w:w="2300" w:type="dxa"/>
                </w:tcPr>
                <w:p>
                  <w:pPr>
                    <w:jc w:val="left"/>
                    <w:rPr>
                      <w:rFonts w:hint="eastAsia"/>
                      <w:color w:val="1739E7"/>
                      <w:highlight w:val="none"/>
                    </w:rPr>
                  </w:pPr>
                  <w:r>
                    <w:rPr>
                      <w:rFonts w:hint="eastAsia"/>
                      <w:b/>
                      <w:bCs/>
                      <w:i/>
                      <w:iCs/>
                      <w:color w:val="1739E7"/>
                      <w:highlight w:val="none"/>
                      <w:lang w:val="en-US" w:eastAsia="zh-CN"/>
                    </w:rPr>
                    <w:t>未提供证据</w:t>
                  </w:r>
                </w:p>
              </w:tc>
              <w:tc>
                <w:tcPr>
                  <w:tcW w:w="2100" w:type="dxa"/>
                </w:tcPr>
                <w:p>
                  <w:pPr>
                    <w:rPr>
                      <w:rFonts w:hint="eastAsia"/>
                      <w:color w:val="1739E7"/>
                      <w:highlight w:val="none"/>
                      <w:lang w:val="en-US" w:eastAsia="zh-CN"/>
                    </w:rPr>
                  </w:pPr>
                  <w:r>
                    <w:rPr>
                      <w:rFonts w:hint="eastAsia"/>
                      <w:color w:val="1739E7"/>
                      <w:highlight w:val="none"/>
                      <w:lang w:val="en-US" w:eastAsia="zh-CN"/>
                    </w:rPr>
                    <w:t>正常</w:t>
                  </w:r>
                </w:p>
              </w:tc>
              <w:tc>
                <w:tcPr>
                  <w:tcW w:w="1320" w:type="dxa"/>
                  <w:vAlign w:val="top"/>
                </w:tcPr>
                <w:p>
                  <w:pPr>
                    <w:rPr>
                      <w:rFonts w:hint="eastAsia"/>
                      <w:color w:val="1739E7"/>
                      <w:highlight w:val="none"/>
                    </w:rPr>
                  </w:pPr>
                  <w:r>
                    <w:rPr>
                      <w:rFonts w:ascii="Calibri" w:hAnsi="Calibri"/>
                      <w:color w:val="1739E7"/>
                      <w:highlight w:val="none"/>
                    </w:rPr>
                    <w:sym w:font="Wingdings 2" w:char="0052"/>
                  </w:r>
                  <w:r>
                    <w:rPr>
                      <w:rFonts w:hint="eastAsia"/>
                      <w:color w:val="1739E7"/>
                      <w:highlight w:val="none"/>
                    </w:rPr>
                    <w:t>完好</w:t>
                  </w:r>
                </w:p>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rFonts w:hint="eastAsia" w:eastAsia="宋体"/>
                      <w:color w:val="1739E7"/>
                      <w:highlight w:val="none"/>
                      <w:lang w:eastAsia="zh-CN"/>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蒸压釜</w:t>
                  </w:r>
                  <w:r>
                    <w:rPr>
                      <w:rFonts w:hint="eastAsia"/>
                      <w:color w:val="1739E7"/>
                      <w:highlight w:val="none"/>
                      <w:lang w:eastAsia="zh-CN"/>
                    </w:rPr>
                    <w:t>）</w:t>
                  </w:r>
                </w:p>
              </w:tc>
              <w:tc>
                <w:tcPr>
                  <w:tcW w:w="1290" w:type="dxa"/>
                </w:tcPr>
                <w:p>
                  <w:pPr>
                    <w:rPr>
                      <w:rFonts w:hint="default" w:eastAsia="宋体"/>
                      <w:color w:val="1739E7"/>
                      <w:highlight w:val="none"/>
                      <w:lang w:val="en-US" w:eastAsia="zh-CN"/>
                    </w:rPr>
                  </w:pPr>
                  <w:r>
                    <w:rPr>
                      <w:rFonts w:hint="eastAsia"/>
                      <w:color w:val="1739E7"/>
                      <w:highlight w:val="none"/>
                      <w:lang w:val="en-US" w:eastAsia="zh-CN"/>
                    </w:rPr>
                    <w:t>116478</w:t>
                  </w:r>
                </w:p>
              </w:tc>
              <w:tc>
                <w:tcPr>
                  <w:tcW w:w="2300" w:type="dxa"/>
                </w:tcPr>
                <w:p>
                  <w:pPr>
                    <w:pStyle w:val="2"/>
                    <w:ind w:left="0" w:leftChars="0" w:firstLine="0" w:firstLineChars="0"/>
                    <w:jc w:val="left"/>
                  </w:pPr>
                  <w:r>
                    <w:rPr>
                      <w:rFonts w:hint="eastAsia"/>
                      <w:b/>
                      <w:bCs/>
                      <w:i/>
                      <w:iCs/>
                      <w:color w:val="1739E7"/>
                      <w:highlight w:val="none"/>
                      <w:lang w:val="en-US" w:eastAsia="zh-CN"/>
                    </w:rPr>
                    <w:t>未提供证据</w:t>
                  </w:r>
                </w:p>
              </w:tc>
              <w:tc>
                <w:tcPr>
                  <w:tcW w:w="2100" w:type="dxa"/>
                </w:tcPr>
                <w:p>
                  <w:pPr>
                    <w:rPr>
                      <w:color w:val="1739E7"/>
                      <w:highlight w:val="none"/>
                    </w:rPr>
                  </w:pPr>
                  <w:r>
                    <w:rPr>
                      <w:rFonts w:hint="eastAsia"/>
                      <w:color w:val="1739E7"/>
                      <w:highlight w:val="none"/>
                      <w:lang w:val="en-US" w:eastAsia="zh-CN"/>
                    </w:rPr>
                    <w:t>正常</w:t>
                  </w:r>
                </w:p>
              </w:tc>
              <w:tc>
                <w:tcPr>
                  <w:tcW w:w="1320" w:type="dxa"/>
                  <w:vAlign w:val="top"/>
                </w:tcPr>
                <w:p>
                  <w:pPr>
                    <w:rPr>
                      <w:rFonts w:hint="eastAsia"/>
                      <w:color w:val="1739E7"/>
                      <w:highlight w:val="none"/>
                    </w:rPr>
                  </w:pPr>
                  <w:r>
                    <w:rPr>
                      <w:rFonts w:ascii="Calibri" w:hAnsi="Calibri"/>
                      <w:color w:val="1739E7"/>
                      <w:highlight w:val="none"/>
                    </w:rPr>
                    <w:sym w:font="Wingdings 2" w:char="0052"/>
                  </w:r>
                  <w:r>
                    <w:rPr>
                      <w:rFonts w:hint="eastAsia"/>
                      <w:color w:val="1739E7"/>
                      <w:highlight w:val="none"/>
                    </w:rPr>
                    <w:t>完好</w:t>
                  </w:r>
                </w:p>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rFonts w:hint="eastAsia"/>
                      <w:color w:val="1739E7"/>
                      <w:highlight w:val="none"/>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蒸压釜</w:t>
                  </w:r>
                  <w:r>
                    <w:rPr>
                      <w:rFonts w:hint="eastAsia"/>
                      <w:color w:val="1739E7"/>
                      <w:highlight w:val="none"/>
                      <w:lang w:eastAsia="zh-CN"/>
                    </w:rPr>
                    <w:t>）</w:t>
                  </w:r>
                </w:p>
              </w:tc>
              <w:tc>
                <w:tcPr>
                  <w:tcW w:w="1290" w:type="dxa"/>
                </w:tcPr>
                <w:p>
                  <w:pPr>
                    <w:rPr>
                      <w:rFonts w:hint="default" w:eastAsia="宋体"/>
                      <w:color w:val="1739E7"/>
                      <w:highlight w:val="none"/>
                      <w:lang w:val="en-US" w:eastAsia="zh-CN"/>
                    </w:rPr>
                  </w:pPr>
                  <w:r>
                    <w:rPr>
                      <w:rFonts w:hint="eastAsia"/>
                      <w:color w:val="1739E7"/>
                      <w:highlight w:val="none"/>
                      <w:lang w:val="en-US" w:eastAsia="zh-CN"/>
                    </w:rPr>
                    <w:t>116538</w:t>
                  </w:r>
                </w:p>
              </w:tc>
              <w:tc>
                <w:tcPr>
                  <w:tcW w:w="2300" w:type="dxa"/>
                </w:tcPr>
                <w:p>
                  <w:pPr>
                    <w:jc w:val="left"/>
                    <w:rPr>
                      <w:rFonts w:hint="eastAsia"/>
                      <w:color w:val="1739E7"/>
                      <w:highlight w:val="none"/>
                    </w:rPr>
                  </w:pPr>
                  <w:r>
                    <w:rPr>
                      <w:rFonts w:hint="eastAsia"/>
                      <w:b/>
                      <w:bCs/>
                      <w:i/>
                      <w:iCs/>
                      <w:color w:val="1739E7"/>
                      <w:highlight w:val="none"/>
                      <w:lang w:val="en-US" w:eastAsia="zh-CN"/>
                    </w:rPr>
                    <w:t>未提供证据</w:t>
                  </w:r>
                </w:p>
              </w:tc>
              <w:tc>
                <w:tcPr>
                  <w:tcW w:w="2100" w:type="dxa"/>
                </w:tcPr>
                <w:p>
                  <w:pPr>
                    <w:rPr>
                      <w:rFonts w:hint="eastAsia"/>
                      <w:color w:val="1739E7"/>
                      <w:highlight w:val="none"/>
                      <w:lang w:val="en-US" w:eastAsia="zh-CN"/>
                    </w:rPr>
                  </w:pPr>
                  <w:r>
                    <w:rPr>
                      <w:rFonts w:hint="eastAsia"/>
                      <w:color w:val="1739E7"/>
                      <w:highlight w:val="none"/>
                      <w:lang w:val="en-US" w:eastAsia="zh-CN"/>
                    </w:rPr>
                    <w:t>正常</w:t>
                  </w:r>
                </w:p>
              </w:tc>
              <w:tc>
                <w:tcPr>
                  <w:tcW w:w="1320" w:type="dxa"/>
                  <w:vAlign w:val="top"/>
                </w:tcPr>
                <w:p>
                  <w:pPr>
                    <w:rPr>
                      <w:rFonts w:hint="eastAsia"/>
                      <w:color w:val="1739E7"/>
                      <w:highlight w:val="none"/>
                    </w:rPr>
                  </w:pPr>
                  <w:r>
                    <w:rPr>
                      <w:rFonts w:ascii="Calibri" w:hAnsi="Calibri"/>
                      <w:color w:val="1739E7"/>
                      <w:highlight w:val="none"/>
                    </w:rPr>
                    <w:sym w:font="Wingdings 2" w:char="0052"/>
                  </w:r>
                  <w:r>
                    <w:rPr>
                      <w:rFonts w:hint="eastAsia"/>
                      <w:color w:val="1739E7"/>
                      <w:highlight w:val="none"/>
                    </w:rPr>
                    <w:t>完好</w:t>
                  </w:r>
                </w:p>
                <w:p>
                  <w:pPr>
                    <w:rPr>
                      <w:rFonts w:ascii="Calibri" w:hAnsi="Calibri" w:eastAsia="宋体" w:cs="Times New Roman"/>
                      <w:color w:val="1739E7"/>
                      <w:kern w:val="2"/>
                      <w:sz w:val="21"/>
                      <w:highlight w:val="none"/>
                      <w:lang w:val="en-US" w:eastAsia="zh-CN" w:bidi="ar-SA"/>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rFonts w:hint="eastAsia"/>
                      <w:color w:val="1739E7"/>
                      <w:highlight w:val="none"/>
                    </w:rPr>
                  </w:pPr>
                  <w:r>
                    <w:rPr>
                      <w:rFonts w:hint="eastAsia"/>
                      <w:color w:val="1739E7"/>
                      <w:highlight w:val="none"/>
                    </w:rPr>
                    <w:t>压力容器</w:t>
                  </w:r>
                  <w:r>
                    <w:rPr>
                      <w:rFonts w:hint="eastAsia"/>
                      <w:color w:val="1739E7"/>
                      <w:highlight w:val="none"/>
                      <w:lang w:eastAsia="zh-CN"/>
                    </w:rPr>
                    <w:t>（</w:t>
                  </w:r>
                  <w:r>
                    <w:rPr>
                      <w:rFonts w:hint="eastAsia"/>
                      <w:color w:val="1739E7"/>
                      <w:highlight w:val="none"/>
                      <w:lang w:val="en-US" w:eastAsia="zh-CN"/>
                    </w:rPr>
                    <w:t>蒸压釜</w:t>
                  </w:r>
                  <w:r>
                    <w:rPr>
                      <w:rFonts w:hint="eastAsia"/>
                      <w:color w:val="1739E7"/>
                      <w:highlight w:val="none"/>
                      <w:lang w:eastAsia="zh-CN"/>
                    </w:rPr>
                    <w:t>）</w:t>
                  </w:r>
                </w:p>
              </w:tc>
              <w:tc>
                <w:tcPr>
                  <w:tcW w:w="1290" w:type="dxa"/>
                </w:tcPr>
                <w:p>
                  <w:pPr>
                    <w:rPr>
                      <w:rFonts w:hint="default" w:eastAsia="宋体"/>
                      <w:color w:val="1739E7"/>
                      <w:highlight w:val="none"/>
                      <w:lang w:val="en-US" w:eastAsia="zh-CN"/>
                    </w:rPr>
                  </w:pPr>
                  <w:r>
                    <w:rPr>
                      <w:rFonts w:hint="eastAsia"/>
                      <w:color w:val="1739E7"/>
                      <w:highlight w:val="none"/>
                      <w:lang w:val="en-US" w:eastAsia="zh-CN"/>
                    </w:rPr>
                    <w:t>F200-461</w:t>
                  </w:r>
                </w:p>
              </w:tc>
              <w:tc>
                <w:tcPr>
                  <w:tcW w:w="2300" w:type="dxa"/>
                </w:tcPr>
                <w:p>
                  <w:pPr>
                    <w:jc w:val="left"/>
                    <w:rPr>
                      <w:rFonts w:hint="eastAsia"/>
                      <w:color w:val="1739E7"/>
                      <w:highlight w:val="none"/>
                    </w:rPr>
                  </w:pPr>
                  <w:r>
                    <w:rPr>
                      <w:rFonts w:hint="eastAsia"/>
                      <w:b/>
                      <w:bCs/>
                      <w:i/>
                      <w:iCs/>
                      <w:color w:val="1739E7"/>
                      <w:highlight w:val="none"/>
                      <w:lang w:val="en-US" w:eastAsia="zh-CN"/>
                    </w:rPr>
                    <w:t>未提供证据</w:t>
                  </w:r>
                </w:p>
              </w:tc>
              <w:tc>
                <w:tcPr>
                  <w:tcW w:w="2100" w:type="dxa"/>
                </w:tcPr>
                <w:p>
                  <w:pPr>
                    <w:rPr>
                      <w:rFonts w:hint="eastAsia"/>
                      <w:color w:val="1739E7"/>
                      <w:highlight w:val="none"/>
                      <w:lang w:val="en-US" w:eastAsia="zh-CN"/>
                    </w:rPr>
                  </w:pPr>
                  <w:r>
                    <w:rPr>
                      <w:rFonts w:hint="eastAsia"/>
                      <w:color w:val="1739E7"/>
                      <w:highlight w:val="none"/>
                      <w:lang w:val="en-US" w:eastAsia="zh-CN"/>
                    </w:rPr>
                    <w:t>正常</w:t>
                  </w:r>
                </w:p>
              </w:tc>
              <w:tc>
                <w:tcPr>
                  <w:tcW w:w="1320" w:type="dxa"/>
                  <w:vAlign w:val="top"/>
                </w:tcPr>
                <w:p>
                  <w:pPr>
                    <w:rPr>
                      <w:rFonts w:hint="eastAsia"/>
                      <w:color w:val="1739E7"/>
                      <w:highlight w:val="none"/>
                    </w:rPr>
                  </w:pPr>
                  <w:r>
                    <w:rPr>
                      <w:rFonts w:ascii="Calibri" w:hAnsi="Calibri"/>
                      <w:color w:val="1739E7"/>
                      <w:highlight w:val="none"/>
                    </w:rPr>
                    <w:sym w:font="Wingdings 2" w:char="00A3"/>
                  </w:r>
                  <w:r>
                    <w:rPr>
                      <w:rFonts w:hint="eastAsia"/>
                      <w:color w:val="1739E7"/>
                      <w:highlight w:val="none"/>
                    </w:rPr>
                    <w:t>完好</w:t>
                  </w:r>
                </w:p>
                <w:p>
                  <w:pPr>
                    <w:rPr>
                      <w:rFonts w:ascii="Times New Roman" w:hAnsi="Times New Roman" w:eastAsia="宋体" w:cs="Times New Roman"/>
                      <w:color w:val="1739E7"/>
                      <w:kern w:val="2"/>
                      <w:sz w:val="21"/>
                      <w:highlight w:val="none"/>
                      <w:lang w:val="en-US" w:eastAsia="zh-CN" w:bidi="ar-SA"/>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color w:val="1739E7"/>
                      <w:highlight w:val="none"/>
                    </w:rPr>
                  </w:pPr>
                  <w:r>
                    <w:rPr>
                      <w:rFonts w:hint="eastAsia"/>
                      <w:color w:val="1739E7"/>
                      <w:highlight w:val="none"/>
                    </w:rPr>
                    <w:t>锅炉</w:t>
                  </w:r>
                </w:p>
              </w:tc>
              <w:tc>
                <w:tcPr>
                  <w:tcW w:w="1290" w:type="dxa"/>
                </w:tcPr>
                <w:p>
                  <w:pPr>
                    <w:rPr>
                      <w:color w:val="1739E7"/>
                      <w:highlight w:val="none"/>
                    </w:rPr>
                  </w:pPr>
                  <w:r>
                    <w:rPr>
                      <w:rFonts w:hint="eastAsia" w:cs="Times New Roman"/>
                      <w:color w:val="1739E7"/>
                      <w:kern w:val="2"/>
                      <w:sz w:val="21"/>
                      <w:highlight w:val="none"/>
                      <w:lang w:val="en-US" w:eastAsia="zh-CN" w:bidi="ar-SA"/>
                    </w:rPr>
                    <w:t>DZL6-1.6-AII</w:t>
                  </w:r>
                </w:p>
              </w:tc>
              <w:tc>
                <w:tcPr>
                  <w:tcW w:w="2300" w:type="dxa"/>
                </w:tcPr>
                <w:p>
                  <w:pPr>
                    <w:pStyle w:val="2"/>
                    <w:ind w:left="0" w:leftChars="0" w:firstLine="0" w:firstLineChars="0"/>
                    <w:jc w:val="left"/>
                  </w:pPr>
                  <w:r>
                    <w:rPr>
                      <w:rFonts w:hint="eastAsia"/>
                      <w:b/>
                      <w:bCs/>
                      <w:i/>
                      <w:iCs/>
                      <w:color w:val="1739E7"/>
                      <w:highlight w:val="none"/>
                      <w:lang w:val="en-US" w:eastAsia="zh-CN"/>
                    </w:rPr>
                    <w:t>未提供证据</w:t>
                  </w:r>
                </w:p>
              </w:tc>
              <w:tc>
                <w:tcPr>
                  <w:tcW w:w="2100" w:type="dxa"/>
                </w:tcPr>
                <w:p>
                  <w:pPr>
                    <w:rPr>
                      <w:color w:val="1739E7"/>
                      <w:highlight w:val="none"/>
                    </w:rPr>
                  </w:pPr>
                  <w:r>
                    <w:rPr>
                      <w:rFonts w:hint="eastAsia"/>
                      <w:color w:val="1739E7"/>
                      <w:highlight w:val="none"/>
                      <w:lang w:val="en-US" w:eastAsia="zh-CN"/>
                    </w:rPr>
                    <w:t>正常</w:t>
                  </w:r>
                </w:p>
              </w:tc>
              <w:tc>
                <w:tcPr>
                  <w:tcW w:w="1320" w:type="dxa"/>
                </w:tcPr>
                <w:p>
                  <w:pPr>
                    <w:rPr>
                      <w:rFonts w:hint="eastAsia"/>
                      <w:color w:val="1739E7"/>
                      <w:highlight w:val="none"/>
                    </w:rPr>
                  </w:pPr>
                  <w:r>
                    <w:rPr>
                      <w:rFonts w:ascii="Calibri" w:hAnsi="Calibri"/>
                      <w:color w:val="1739E7"/>
                      <w:highlight w:val="none"/>
                    </w:rPr>
                    <w:sym w:font="Wingdings 2" w:char="0052"/>
                  </w:r>
                  <w:r>
                    <w:rPr>
                      <w:rFonts w:hint="eastAsia"/>
                      <w:color w:val="1739E7"/>
                      <w:highlight w:val="none"/>
                    </w:rPr>
                    <w:t>完好</w:t>
                  </w:r>
                </w:p>
                <w:p>
                  <w:pPr>
                    <w:rPr>
                      <w:color w:val="1739E7"/>
                      <w:highlight w:val="none"/>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color w:val="1739E7"/>
                      <w:highlight w:val="none"/>
                    </w:rPr>
                  </w:pPr>
                  <w:r>
                    <w:rPr>
                      <w:rFonts w:hint="eastAsia"/>
                      <w:color w:val="1739E7"/>
                      <w:highlight w:val="none"/>
                    </w:rPr>
                    <w:t>压力管道</w:t>
                  </w:r>
                </w:p>
              </w:tc>
              <w:tc>
                <w:tcPr>
                  <w:tcW w:w="1290" w:type="dxa"/>
                </w:tcPr>
                <w:p>
                  <w:pPr>
                    <w:rPr>
                      <w:rFonts w:hint="eastAsia" w:eastAsia="宋体"/>
                      <w:color w:val="1739E7"/>
                      <w:highlight w:val="none"/>
                      <w:lang w:eastAsia="zh-CN"/>
                    </w:rPr>
                  </w:pPr>
                  <w:r>
                    <w:rPr>
                      <w:rFonts w:hint="eastAsia"/>
                      <w:color w:val="1739E7"/>
                      <w:highlight w:val="none"/>
                      <w:lang w:eastAsia="zh-CN"/>
                    </w:rPr>
                    <w:t>——</w:t>
                  </w:r>
                </w:p>
              </w:tc>
              <w:tc>
                <w:tcPr>
                  <w:tcW w:w="2300" w:type="dxa"/>
                </w:tcPr>
                <w:p>
                  <w:pPr>
                    <w:ind w:firstLine="420" w:firstLineChars="200"/>
                    <w:rPr>
                      <w:color w:val="1739E7"/>
                      <w:highlight w:val="none"/>
                    </w:rPr>
                  </w:pPr>
                  <w:r>
                    <w:rPr>
                      <w:rFonts w:hint="eastAsia"/>
                      <w:color w:val="1739E7"/>
                      <w:highlight w:val="none"/>
                    </w:rPr>
                    <w:t>年  月  日</w:t>
                  </w:r>
                </w:p>
              </w:tc>
              <w:tc>
                <w:tcPr>
                  <w:tcW w:w="2100" w:type="dxa"/>
                </w:tcPr>
                <w:p>
                  <w:pPr>
                    <w:rPr>
                      <w:color w:val="1739E7"/>
                      <w:highlight w:val="none"/>
                    </w:rPr>
                  </w:pPr>
                </w:p>
              </w:tc>
              <w:tc>
                <w:tcPr>
                  <w:tcW w:w="1320" w:type="dxa"/>
                </w:tcPr>
                <w:p>
                  <w:pPr>
                    <w:rPr>
                      <w:rFonts w:hint="eastAsia"/>
                      <w:color w:val="1739E7"/>
                      <w:highlight w:val="none"/>
                    </w:rPr>
                  </w:pPr>
                  <w:r>
                    <w:rPr>
                      <w:rFonts w:ascii="Calibri" w:hAnsi="Calibri"/>
                      <w:color w:val="1739E7"/>
                      <w:highlight w:val="none"/>
                    </w:rPr>
                    <w:t>□</w:t>
                  </w:r>
                  <w:r>
                    <w:rPr>
                      <w:rFonts w:hint="eastAsia"/>
                      <w:color w:val="1739E7"/>
                      <w:highlight w:val="none"/>
                    </w:rPr>
                    <w:t>完好</w:t>
                  </w:r>
                </w:p>
                <w:p>
                  <w:pPr>
                    <w:rPr>
                      <w:color w:val="1739E7"/>
                      <w:highlight w:val="none"/>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color w:val="1739E7"/>
                      <w:highlight w:val="none"/>
                    </w:rPr>
                  </w:pPr>
                  <w:r>
                    <w:rPr>
                      <w:rFonts w:hint="eastAsia"/>
                      <w:color w:val="1739E7"/>
                      <w:highlight w:val="none"/>
                    </w:rPr>
                    <w:t>电梯（客梯）</w:t>
                  </w:r>
                </w:p>
              </w:tc>
              <w:tc>
                <w:tcPr>
                  <w:tcW w:w="1290" w:type="dxa"/>
                </w:tcPr>
                <w:p>
                  <w:pPr>
                    <w:rPr>
                      <w:rFonts w:hint="eastAsia" w:eastAsia="宋体"/>
                      <w:color w:val="1739E7"/>
                      <w:highlight w:val="none"/>
                      <w:lang w:eastAsia="zh-CN"/>
                    </w:rPr>
                  </w:pPr>
                  <w:r>
                    <w:rPr>
                      <w:rFonts w:hint="eastAsia"/>
                      <w:color w:val="1739E7"/>
                      <w:highlight w:val="none"/>
                      <w:lang w:eastAsia="zh-CN"/>
                    </w:rPr>
                    <w:t>——</w:t>
                  </w:r>
                </w:p>
              </w:tc>
              <w:tc>
                <w:tcPr>
                  <w:tcW w:w="2300" w:type="dxa"/>
                </w:tcPr>
                <w:p>
                  <w:pPr>
                    <w:ind w:firstLine="420" w:firstLineChars="200"/>
                    <w:rPr>
                      <w:color w:val="1739E7"/>
                      <w:highlight w:val="none"/>
                    </w:rPr>
                  </w:pPr>
                  <w:r>
                    <w:rPr>
                      <w:rFonts w:hint="eastAsia"/>
                      <w:color w:val="1739E7"/>
                      <w:highlight w:val="none"/>
                    </w:rPr>
                    <w:t>年  月  日</w:t>
                  </w:r>
                </w:p>
              </w:tc>
              <w:tc>
                <w:tcPr>
                  <w:tcW w:w="2100" w:type="dxa"/>
                </w:tcPr>
                <w:p>
                  <w:pPr>
                    <w:rPr>
                      <w:color w:val="1739E7"/>
                      <w:highlight w:val="none"/>
                    </w:rPr>
                  </w:pPr>
                </w:p>
              </w:tc>
              <w:tc>
                <w:tcPr>
                  <w:tcW w:w="1320" w:type="dxa"/>
                </w:tcPr>
                <w:p>
                  <w:pPr>
                    <w:rPr>
                      <w:rFonts w:hint="eastAsia"/>
                      <w:color w:val="1739E7"/>
                      <w:highlight w:val="none"/>
                    </w:rPr>
                  </w:pPr>
                  <w:r>
                    <w:rPr>
                      <w:rFonts w:ascii="Calibri" w:hAnsi="Calibri"/>
                      <w:color w:val="1739E7"/>
                      <w:highlight w:val="none"/>
                    </w:rPr>
                    <w:t>□</w:t>
                  </w:r>
                  <w:r>
                    <w:rPr>
                      <w:rFonts w:hint="eastAsia"/>
                      <w:color w:val="1739E7"/>
                      <w:highlight w:val="none"/>
                    </w:rPr>
                    <w:t>完好</w:t>
                  </w:r>
                </w:p>
                <w:p>
                  <w:pPr>
                    <w:rPr>
                      <w:color w:val="1739E7"/>
                      <w:highlight w:val="none"/>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0" w:type="dxa"/>
                </w:tcPr>
                <w:p>
                  <w:pPr>
                    <w:rPr>
                      <w:color w:val="1739E7"/>
                      <w:highlight w:val="none"/>
                    </w:rPr>
                  </w:pPr>
                  <w:r>
                    <w:rPr>
                      <w:rFonts w:hint="eastAsia"/>
                      <w:color w:val="1739E7"/>
                      <w:highlight w:val="none"/>
                    </w:rPr>
                    <w:t>电梯（货梯）</w:t>
                  </w:r>
                </w:p>
              </w:tc>
              <w:tc>
                <w:tcPr>
                  <w:tcW w:w="1290" w:type="dxa"/>
                </w:tcPr>
                <w:p>
                  <w:pPr>
                    <w:rPr>
                      <w:rFonts w:hint="eastAsia" w:eastAsia="宋体"/>
                      <w:color w:val="1739E7"/>
                      <w:highlight w:val="none"/>
                      <w:lang w:eastAsia="zh-CN"/>
                    </w:rPr>
                  </w:pPr>
                  <w:r>
                    <w:rPr>
                      <w:rFonts w:hint="eastAsia"/>
                      <w:color w:val="1739E7"/>
                      <w:highlight w:val="none"/>
                      <w:lang w:eastAsia="zh-CN"/>
                    </w:rPr>
                    <w:t>——</w:t>
                  </w:r>
                </w:p>
              </w:tc>
              <w:tc>
                <w:tcPr>
                  <w:tcW w:w="2300" w:type="dxa"/>
                </w:tcPr>
                <w:p>
                  <w:pPr>
                    <w:ind w:firstLine="420" w:firstLineChars="200"/>
                    <w:rPr>
                      <w:color w:val="1739E7"/>
                      <w:highlight w:val="none"/>
                    </w:rPr>
                  </w:pPr>
                  <w:r>
                    <w:rPr>
                      <w:rFonts w:hint="eastAsia"/>
                      <w:color w:val="1739E7"/>
                      <w:highlight w:val="none"/>
                    </w:rPr>
                    <w:t>年  月  日</w:t>
                  </w:r>
                </w:p>
              </w:tc>
              <w:tc>
                <w:tcPr>
                  <w:tcW w:w="2100" w:type="dxa"/>
                </w:tcPr>
                <w:p>
                  <w:pPr>
                    <w:rPr>
                      <w:color w:val="1739E7"/>
                      <w:highlight w:val="none"/>
                    </w:rPr>
                  </w:pPr>
                </w:p>
              </w:tc>
              <w:tc>
                <w:tcPr>
                  <w:tcW w:w="1320" w:type="dxa"/>
                </w:tcPr>
                <w:p>
                  <w:pPr>
                    <w:rPr>
                      <w:rFonts w:hint="eastAsia"/>
                      <w:color w:val="1739E7"/>
                      <w:highlight w:val="none"/>
                    </w:rPr>
                  </w:pPr>
                  <w:r>
                    <w:rPr>
                      <w:rFonts w:ascii="Calibri" w:hAnsi="Calibri"/>
                      <w:color w:val="1739E7"/>
                      <w:highlight w:val="none"/>
                    </w:rPr>
                    <w:t>□</w:t>
                  </w:r>
                  <w:r>
                    <w:rPr>
                      <w:rFonts w:hint="eastAsia"/>
                      <w:color w:val="1739E7"/>
                      <w:highlight w:val="none"/>
                    </w:rPr>
                    <w:t>完好</w:t>
                  </w:r>
                </w:p>
                <w:p>
                  <w:pPr>
                    <w:rPr>
                      <w:color w:val="1739E7"/>
                      <w:highlight w:val="none"/>
                    </w:rPr>
                  </w:pPr>
                  <w:r>
                    <w:rPr>
                      <w:rFonts w:ascii="Calibri" w:hAnsi="Calibri"/>
                      <w:color w:val="1739E7"/>
                      <w:highlight w:val="none"/>
                    </w:rPr>
                    <w:t>□</w:t>
                  </w:r>
                  <w:r>
                    <w:rPr>
                      <w:rFonts w:hint="eastAsia"/>
                      <w:color w:val="1739E7"/>
                      <w:highlight w:val="none"/>
                    </w:rPr>
                    <w:t>不完好</w:t>
                  </w:r>
                </w:p>
              </w:tc>
              <w:tc>
                <w:tcPr>
                  <w:tcW w:w="1240" w:type="dxa"/>
                </w:tcPr>
                <w:p>
                  <w:pPr>
                    <w:rPr>
                      <w:color w:val="1739E7"/>
                      <w:highlight w:val="none"/>
                    </w:rPr>
                  </w:pPr>
                </w:p>
              </w:tc>
            </w:tr>
          </w:tbl>
          <w:p/>
          <w:p>
            <w:pPr>
              <w:pStyle w:val="4"/>
              <w:ind w:firstLine="630" w:firstLineChars="300"/>
              <w:rPr>
                <w:rFonts w:hint="default" w:ascii="Times New Roman" w:hAnsi="Times New Roman" w:eastAsia="宋体" w:cs="Times New Roman"/>
                <w:color w:val="1739E7"/>
                <w:kern w:val="2"/>
                <w:sz w:val="21"/>
                <w:u w:val="single"/>
                <w:lang w:val="en-US" w:eastAsia="zh-CN" w:bidi="ar-SA"/>
              </w:rPr>
            </w:pPr>
            <w:r>
              <w:rPr>
                <w:rFonts w:hint="eastAsia" w:ascii="Times New Roman" w:hAnsi="Times New Roman" w:eastAsia="宋体" w:cs="Times New Roman"/>
                <w:color w:val="1739E7"/>
                <w:kern w:val="2"/>
                <w:sz w:val="21"/>
                <w:u w:val="single"/>
                <w:lang w:val="en-US" w:eastAsia="zh-CN" w:bidi="ar-SA"/>
              </w:rPr>
              <w:t>锅炉《水处理设备运行及水质化验记录》（蒸汽）：每月进行5次检测，检测项目：原水（悬浮物、总硬度、总碱度、氯根）、软化水（总硬度、氯根、碱度）、给水（溶解氧、PH值、氯根）、锅水（溶解固形物、总碱度、氯根、PH值），抽查2021-04-20，检测结论：合格。</w:t>
            </w:r>
          </w:p>
          <w:p>
            <w:pPr>
              <w:pStyle w:val="4"/>
              <w:rPr>
                <w:rFonts w:hint="default" w:eastAsia="宋体"/>
                <w:color w:val="FF0000"/>
                <w:lang w:val="en-US" w:eastAsia="zh-CN"/>
              </w:rPr>
            </w:pPr>
            <w:r>
              <w:rPr>
                <w:rFonts w:hint="eastAsia"/>
                <w:color w:val="FF0000"/>
                <w:lang w:val="en-US" w:eastAsia="zh-CN"/>
              </w:rPr>
              <w:t xml:space="preserve">     </w:t>
            </w:r>
          </w:p>
          <w:p>
            <w:pPr>
              <w:pStyle w:val="4"/>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经补充现场审核确认；</w:t>
            </w:r>
          </w:p>
          <w:p>
            <w:pPr>
              <w:pStyle w:val="4"/>
              <w:numPr>
                <w:ilvl w:val="0"/>
                <w:numId w:val="2"/>
              </w:numPr>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标示为红色（A）（B）两条款内容见补充现场审核记录（蓝色字内容）；</w:t>
            </w:r>
          </w:p>
          <w:p>
            <w:pPr>
              <w:pStyle w:val="4"/>
              <w:numPr>
                <w:ilvl w:val="0"/>
                <w:numId w:val="2"/>
              </w:numPr>
              <w:rPr>
                <w:sz w:val="21"/>
                <w:szCs w:val="21"/>
              </w:rPr>
            </w:pPr>
            <w:r>
              <w:rPr>
                <w:rFonts w:hint="eastAsia" w:ascii="宋体" w:hAnsi="宋体" w:cs="宋体"/>
                <w:color w:val="0000FF"/>
                <w:sz w:val="21"/>
                <w:szCs w:val="21"/>
                <w:lang w:val="en-US" w:eastAsia="zh-CN"/>
              </w:rPr>
              <w:t>压力容器、叉车、压力表的内容见蓝色审核记录；</w:t>
            </w:r>
          </w:p>
          <w:p>
            <w:pPr>
              <w:pStyle w:val="4"/>
              <w:numPr>
                <w:ilvl w:val="0"/>
                <w:numId w:val="2"/>
              </w:numPr>
              <w:rPr>
                <w:sz w:val="21"/>
                <w:szCs w:val="21"/>
              </w:rPr>
            </w:pPr>
            <w:r>
              <w:rPr>
                <w:rFonts w:hint="eastAsia" w:ascii="宋体" w:hAnsi="宋体" w:cs="宋体"/>
                <w:color w:val="0000FF"/>
                <w:sz w:val="21"/>
                <w:szCs w:val="21"/>
                <w:lang w:val="en-US" w:eastAsia="zh-CN"/>
              </w:rPr>
              <w:t>除上述（1）、（2）条款外，Q审核内容与远程审核一致。</w:t>
            </w:r>
          </w:p>
          <w:p>
            <w:pPr>
              <w:pStyle w:val="4"/>
            </w:pPr>
          </w:p>
        </w:tc>
        <w:tc>
          <w:tcPr>
            <w:tcW w:w="1585" w:type="dxa"/>
          </w:tcPr>
          <w:p>
            <w:pPr>
              <w:rPr>
                <w:rFonts w:hint="eastAsia"/>
              </w:rPr>
            </w:pPr>
            <w:r>
              <w:rPr>
                <w:rFonts w:hint="eastAsia"/>
              </w:rPr>
              <w:t>Y</w:t>
            </w: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eastAsia="宋体" w:cs="宋体"/>
                <w:color w:val="1552D1"/>
                <w:szCs w:val="21"/>
                <w:lang w:val="en-US" w:eastAsia="zh-CN"/>
              </w:rPr>
            </w:pPr>
            <w:r>
              <w:rPr>
                <w:rFonts w:hint="eastAsia" w:cs="宋体"/>
                <w:color w:val="1552D1"/>
                <w:szCs w:val="21"/>
                <w:lang w:val="en-US" w:eastAsia="zh-CN"/>
              </w:rPr>
              <w:t>N</w:t>
            </w: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752" w:type="dxa"/>
            <w:vAlign w:val="center"/>
          </w:tcPr>
          <w:p>
            <w:pPr>
              <w:rPr>
                <w:rFonts w:ascii="宋体" w:hAnsi="宋体" w:cs="宋体"/>
                <w:szCs w:val="21"/>
              </w:rPr>
            </w:pPr>
            <w:r>
              <w:rPr>
                <w:rFonts w:hint="eastAsia" w:ascii="宋体" w:hAnsi="宋体" w:cs="宋体"/>
                <w:szCs w:val="21"/>
              </w:rPr>
              <w:t>过程运行环境</w:t>
            </w:r>
          </w:p>
        </w:tc>
        <w:tc>
          <w:tcPr>
            <w:tcW w:w="1215" w:type="dxa"/>
            <w:vAlign w:val="center"/>
          </w:tcPr>
          <w:p>
            <w:pPr>
              <w:rPr>
                <w:rFonts w:ascii="宋体" w:hAnsi="宋体" w:cs="宋体"/>
                <w:szCs w:val="21"/>
              </w:rPr>
            </w:pPr>
            <w:r>
              <w:rPr>
                <w:rFonts w:hint="eastAsia" w:ascii="宋体" w:hAnsi="宋体" w:cs="宋体"/>
                <w:szCs w:val="21"/>
              </w:rPr>
              <w:t xml:space="preserve">Q：7.1.4 </w:t>
            </w:r>
          </w:p>
        </w:tc>
        <w:tc>
          <w:tcPr>
            <w:tcW w:w="10100" w:type="dxa"/>
            <w:vAlign w:val="center"/>
          </w:tcPr>
          <w:p>
            <w:pPr>
              <w:spacing w:before="93" w:beforeLines="30" w:after="93" w:afterLines="30"/>
              <w:ind w:firstLine="420" w:firstLineChars="200"/>
              <w:rPr>
                <w:rFonts w:hint="eastAsia"/>
              </w:rPr>
            </w:pPr>
            <w:r>
              <w:rPr>
                <w:rFonts w:hint="eastAsia"/>
              </w:rPr>
              <w:t>查公司办公面积适宜；车间布局基本合理，空间较宽敞，但是地面有少量粉尘，车间主任介绍每周定期清扫打扫干净，查看车间环保、消防安全设施等运行状态良好，拍摄照片：</w:t>
            </w:r>
            <w:r>
              <w:rPr>
                <w:rFonts w:hint="eastAsia"/>
              </w:rPr>
              <w:drawing>
                <wp:inline distT="0" distB="0" distL="114300" distR="114300">
                  <wp:extent cx="3820160" cy="1424940"/>
                  <wp:effectExtent l="0" t="0" r="8890" b="3810"/>
                  <wp:docPr id="7" name="图片 7" descr="生产设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生产设施1"/>
                          <pic:cNvPicPr>
                            <a:picLocks noChangeAspect="1"/>
                          </pic:cNvPicPr>
                        </pic:nvPicPr>
                        <pic:blipFill>
                          <a:blip r:embed="rId6"/>
                          <a:stretch>
                            <a:fillRect/>
                          </a:stretch>
                        </pic:blipFill>
                        <pic:spPr>
                          <a:xfrm>
                            <a:off x="0" y="0"/>
                            <a:ext cx="3820160" cy="1424940"/>
                          </a:xfrm>
                          <a:prstGeom prst="rect">
                            <a:avLst/>
                          </a:prstGeom>
                        </pic:spPr>
                      </pic:pic>
                    </a:graphicData>
                  </a:graphic>
                </wp:inline>
              </w:drawing>
            </w:r>
            <w:r>
              <w:rPr>
                <w:rFonts w:hint="eastAsia"/>
              </w:rPr>
              <w:t>。生产区域原料存放区、生产加工半成品、产品等放置整齐，标识明确，远程巡视发现车间现场、仓库等区域/场所有按规定要求配备灭火器、安全通道畅通，远程观察到操作工按章作业，生产秩序良好，拍摄照片：</w:t>
            </w:r>
            <w:r>
              <w:rPr>
                <w:rFonts w:hint="eastAsia"/>
              </w:rPr>
              <w:drawing>
                <wp:inline distT="0" distB="0" distL="114300" distR="114300">
                  <wp:extent cx="3888740" cy="1413510"/>
                  <wp:effectExtent l="0" t="0" r="16510" b="15240"/>
                  <wp:docPr id="8" name="图片 8" descr="1611037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1037003(1)"/>
                          <pic:cNvPicPr>
                            <a:picLocks noChangeAspect="1"/>
                          </pic:cNvPicPr>
                        </pic:nvPicPr>
                        <pic:blipFill>
                          <a:blip r:embed="rId7"/>
                          <a:stretch>
                            <a:fillRect/>
                          </a:stretch>
                        </pic:blipFill>
                        <pic:spPr>
                          <a:xfrm>
                            <a:off x="0" y="0"/>
                            <a:ext cx="3888740" cy="1413510"/>
                          </a:xfrm>
                          <a:prstGeom prst="rect">
                            <a:avLst/>
                          </a:prstGeom>
                        </pic:spPr>
                      </pic:pic>
                    </a:graphicData>
                  </a:graphic>
                </wp:inline>
              </w:drawing>
            </w:r>
            <w:r>
              <w:rPr>
                <w:rFonts w:hint="eastAsia"/>
              </w:rPr>
              <w:t>。车间现场工作环境基本满足要求。过程运行环境基本满足要求。</w:t>
            </w:r>
          </w:p>
          <w:p>
            <w:pPr>
              <w:pStyle w:val="7"/>
              <w:rPr>
                <w:rFonts w:hint="eastAsia"/>
              </w:rPr>
            </w:pPr>
          </w:p>
          <w:p>
            <w:pPr>
              <w:pStyle w:val="4"/>
            </w:pPr>
            <w:r>
              <w:rPr>
                <w:rFonts w:hint="eastAsia" w:ascii="宋体" w:hAnsi="宋体" w:cs="宋体"/>
                <w:color w:val="0000FF"/>
                <w:sz w:val="21"/>
                <w:szCs w:val="21"/>
                <w:lang w:val="en-US" w:eastAsia="zh-CN"/>
              </w:rPr>
              <w:t>经补充现场审核确认；Q审核内容与远程审核一致。</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752" w:type="dxa"/>
            <w:vAlign w:val="center"/>
          </w:tcPr>
          <w:p>
            <w:pPr>
              <w:rPr>
                <w:rFonts w:ascii="宋体" w:hAnsi="宋体" w:cs="宋体"/>
                <w:szCs w:val="21"/>
                <w:highlight w:val="none"/>
              </w:rPr>
            </w:pPr>
            <w:r>
              <w:rPr>
                <w:rFonts w:hint="eastAsia" w:ascii="宋体" w:hAnsi="宋体" w:cs="宋体"/>
                <w:szCs w:val="21"/>
                <w:highlight w:val="none"/>
              </w:rPr>
              <w:t>监视和测量资源</w:t>
            </w:r>
          </w:p>
        </w:tc>
        <w:tc>
          <w:tcPr>
            <w:tcW w:w="1215" w:type="dxa"/>
            <w:vAlign w:val="center"/>
          </w:tcPr>
          <w:p>
            <w:pPr>
              <w:rPr>
                <w:rFonts w:ascii="宋体" w:hAnsi="宋体" w:cs="宋体"/>
                <w:szCs w:val="21"/>
                <w:highlight w:val="none"/>
              </w:rPr>
            </w:pPr>
            <w:r>
              <w:rPr>
                <w:rFonts w:hint="eastAsia" w:ascii="宋体" w:hAnsi="宋体" w:cs="宋体"/>
                <w:szCs w:val="21"/>
                <w:highlight w:val="none"/>
              </w:rPr>
              <w:t xml:space="preserve">Q：7.1.5 </w:t>
            </w:r>
          </w:p>
        </w:tc>
        <w:tc>
          <w:tcPr>
            <w:tcW w:w="10100" w:type="dxa"/>
            <w:vAlign w:val="center"/>
          </w:tcPr>
          <w:p>
            <w:pPr>
              <w:spacing w:before="93" w:beforeLines="30" w:after="93" w:afterLines="30"/>
              <w:ind w:firstLine="420" w:firstLineChars="200"/>
              <w:jc w:val="left"/>
              <w:rPr>
                <w:rFonts w:hint="eastAsia"/>
              </w:rPr>
            </w:pPr>
            <w:r>
              <w:rPr>
                <w:rFonts w:hint="eastAsia"/>
              </w:rPr>
              <w:t>公司为确保产品监视和测量活动需要，提供并配备了钢卷尺、钢直尺等监视和测量设备，查见《监视和测量设备台账》台账中记录了：钢卷尺、钢直尺等，基本满足生产需要。为确保监视和测量设备的精确度和准确度，公司有按策划的时间间隔对上述监视和测量资源实施校准/检定。</w:t>
            </w:r>
          </w:p>
          <w:p>
            <w:pPr>
              <w:spacing w:before="93" w:beforeLines="30" w:after="93" w:afterLines="30"/>
              <w:ind w:firstLine="420" w:firstLineChars="200"/>
              <w:jc w:val="left"/>
              <w:rPr>
                <w:rFonts w:hint="eastAsia"/>
              </w:rPr>
            </w:pPr>
            <w:r>
              <w:rPr>
                <w:rFonts w:hint="eastAsia"/>
              </w:rPr>
              <w:t xml:space="preserve">抽查钢直尺校准证书   ZJCD820070673  规格/型号：(0-1000) mm </w:t>
            </w:r>
          </w:p>
          <w:p>
            <w:pPr>
              <w:spacing w:before="93" w:beforeLines="30" w:after="93" w:afterLines="30"/>
              <w:ind w:firstLine="420" w:firstLineChars="200"/>
              <w:jc w:val="left"/>
              <w:rPr>
                <w:rFonts w:hint="eastAsia"/>
              </w:rPr>
            </w:pPr>
            <w:r>
              <w:rPr>
                <w:rFonts w:hint="eastAsia"/>
              </w:rPr>
              <w:t>校准日期：2021.1.6检定单位：中检世标（北京）计量检验有限公司</w:t>
            </w:r>
          </w:p>
          <w:p>
            <w:pPr>
              <w:spacing w:before="93" w:beforeLines="30" w:after="93" w:afterLines="30"/>
              <w:ind w:firstLine="420" w:firstLineChars="200"/>
              <w:jc w:val="left"/>
              <w:rPr>
                <w:rFonts w:hint="eastAsia"/>
                <w:color w:val="FF0000"/>
              </w:rPr>
            </w:pPr>
            <w:r>
              <w:rPr>
                <w:rFonts w:hint="eastAsia"/>
                <w:color w:val="FF0000"/>
                <w:lang w:val="en-US" w:eastAsia="zh-CN"/>
              </w:rPr>
              <w:t>远程审核：</w:t>
            </w:r>
            <w:r>
              <w:rPr>
                <w:rFonts w:hint="eastAsia"/>
                <w:color w:val="FF0000"/>
              </w:rPr>
              <w:t xml:space="preserve">抽查钢卷尺证书  ZJCD820070673  规格/型号：5m    </w:t>
            </w:r>
          </w:p>
          <w:p>
            <w:pPr>
              <w:spacing w:before="93" w:beforeLines="30" w:after="93" w:afterLines="30"/>
              <w:ind w:firstLine="420" w:firstLineChars="200"/>
              <w:jc w:val="left"/>
              <w:rPr>
                <w:rFonts w:hint="eastAsia"/>
                <w:color w:val="1552D1"/>
                <w:lang w:val="en-US" w:eastAsia="zh-CN"/>
              </w:rPr>
            </w:pPr>
            <w:r>
              <w:rPr>
                <w:rFonts w:hint="eastAsia"/>
                <w:color w:val="1552D1"/>
                <w:lang w:val="en-US" w:eastAsia="zh-CN"/>
              </w:rPr>
              <w:t xml:space="preserve">补充现场审核：抽查钢卷尺证书  ZJCD820070672  规格/型号：5m  </w:t>
            </w:r>
          </w:p>
          <w:p>
            <w:pPr>
              <w:spacing w:before="93" w:beforeLines="30" w:after="93" w:afterLines="30"/>
              <w:ind w:firstLine="420" w:firstLineChars="200"/>
              <w:jc w:val="left"/>
              <w:rPr>
                <w:rFonts w:hint="eastAsia"/>
              </w:rPr>
            </w:pPr>
            <w:r>
              <w:rPr>
                <w:rFonts w:hint="eastAsia"/>
              </w:rPr>
              <w:t>校准日期：2021.1.6检定单位：中检世标（北京）计量检验有限公司</w:t>
            </w:r>
          </w:p>
          <w:p>
            <w:pPr>
              <w:spacing w:before="93" w:beforeLines="30" w:after="93" w:afterLines="30"/>
              <w:ind w:firstLine="420" w:firstLineChars="200"/>
              <w:jc w:val="left"/>
              <w:rPr>
                <w:rFonts w:hint="default" w:ascii="宋体" w:hAnsi="宋体" w:eastAsia="宋体" w:cs="宋体"/>
                <w:b/>
                <w:bCs/>
                <w:i/>
                <w:iCs/>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补充现场审核：</w:t>
            </w:r>
            <w:r>
              <w:rPr>
                <w:rFonts w:hint="eastAsia" w:ascii="宋体" w:hAnsi="宋体" w:eastAsia="宋体" w:cs="宋体"/>
                <w:b/>
                <w:bCs/>
                <w:i/>
                <w:iCs/>
                <w:color w:val="0000FF"/>
                <w:kern w:val="2"/>
                <w:sz w:val="21"/>
                <w:szCs w:val="21"/>
                <w:lang w:val="en-US" w:eastAsia="zh-CN" w:bidi="ar-SA"/>
              </w:rPr>
              <w:t>抽查数显温度计，未提供温度计的比对/校验记录。</w:t>
            </w:r>
          </w:p>
          <w:p>
            <w:pPr>
              <w:spacing w:before="93" w:beforeLines="30" w:after="93" w:afterLines="30"/>
              <w:ind w:firstLine="420" w:firstLineChars="200"/>
              <w:jc w:val="left"/>
              <w:rPr>
                <w:rFonts w:hint="eastAsia"/>
              </w:rPr>
            </w:pPr>
            <w:r>
              <w:rPr>
                <w:rFonts w:hint="eastAsia"/>
              </w:rPr>
              <w:t>监视和测量设备由使用人负责保管维护，以防止损坏或失效</w:t>
            </w:r>
            <w:r>
              <w:rPr>
                <w:rFonts w:hint="eastAsia"/>
                <w:lang w:eastAsia="zh-CN"/>
              </w:rPr>
              <w:t>，</w:t>
            </w:r>
            <w:r>
              <w:rPr>
                <w:rFonts w:hint="eastAsia"/>
              </w:rPr>
              <w:t>目前尚未发现监视测量设备在检定有效期内失准的情况，监视和测量设备运行环境适宜。</w:t>
            </w:r>
          </w:p>
          <w:p>
            <w:pPr>
              <w:spacing w:before="93" w:beforeLines="30" w:after="93" w:afterLines="30"/>
              <w:ind w:firstLine="420" w:firstLineChars="200"/>
              <w:jc w:val="left"/>
              <w:rPr>
                <w:rFonts w:hint="eastAsia"/>
              </w:rPr>
            </w:pPr>
            <w:r>
              <w:rPr>
                <w:rFonts w:hint="eastAsia"/>
              </w:rPr>
              <w:t>企业无需使用计算机软件用于产品的监视和测量。</w:t>
            </w:r>
          </w:p>
          <w:p>
            <w:pPr>
              <w:spacing w:before="93" w:beforeLines="30" w:after="93" w:afterLines="30"/>
              <w:ind w:firstLine="420" w:firstLineChars="200"/>
              <w:jc w:val="left"/>
              <w:rPr>
                <w:rFonts w:hint="eastAsia"/>
              </w:rPr>
            </w:pPr>
            <w:r>
              <w:rPr>
                <w:rFonts w:hint="eastAsia"/>
              </w:rPr>
              <w:t>公司没有计算机软件用于监测活动。</w:t>
            </w:r>
          </w:p>
          <w:p>
            <w:pPr>
              <w:spacing w:before="93" w:beforeLines="30" w:after="93" w:afterLines="30"/>
              <w:ind w:firstLine="420" w:firstLineChars="200"/>
              <w:jc w:val="left"/>
              <w:rPr>
                <w:rFonts w:hint="eastAsia"/>
              </w:rPr>
            </w:pPr>
          </w:p>
          <w:p>
            <w:pPr>
              <w:pStyle w:val="4"/>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经补充现场审核确认：</w:t>
            </w:r>
          </w:p>
          <w:p>
            <w:pPr>
              <w:pStyle w:val="4"/>
              <w:numPr>
                <w:ilvl w:val="0"/>
                <w:numId w:val="0"/>
              </w:numPr>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（1）标示为红色字体内容见补充现场审核记录（蓝色字内容）；</w:t>
            </w:r>
          </w:p>
          <w:p>
            <w:pPr>
              <w:pStyle w:val="4"/>
              <w:numPr>
                <w:ilvl w:val="0"/>
                <w:numId w:val="0"/>
              </w:numPr>
              <w:rPr>
                <w:sz w:val="21"/>
                <w:szCs w:val="21"/>
              </w:rPr>
            </w:pPr>
            <w:r>
              <w:rPr>
                <w:rFonts w:hint="eastAsia" w:ascii="宋体" w:hAnsi="宋体" w:cs="宋体"/>
                <w:color w:val="0000FF"/>
                <w:sz w:val="21"/>
                <w:szCs w:val="21"/>
                <w:lang w:val="en-US" w:eastAsia="zh-CN"/>
              </w:rPr>
              <w:t>（2）除上述（1），Q审核内容与远程审核一致。</w:t>
            </w:r>
          </w:p>
          <w:p>
            <w:pPr>
              <w:spacing w:before="93" w:beforeLines="30" w:after="93" w:afterLines="30"/>
              <w:ind w:firstLine="420" w:firstLineChars="200"/>
              <w:jc w:val="left"/>
              <w:rPr>
                <w:rFonts w:hint="eastAsia"/>
              </w:rPr>
            </w:pPr>
          </w:p>
        </w:tc>
        <w:tc>
          <w:tcPr>
            <w:tcW w:w="1585" w:type="dxa"/>
          </w:tcPr>
          <w:p>
            <w:pPr>
              <w:rPr>
                <w:rFonts w:hint="eastAsia"/>
              </w:rPr>
            </w:pPr>
            <w:r>
              <w:rPr>
                <w:rFonts w:hint="eastAsia"/>
              </w:rPr>
              <w:t>Y</w:t>
            </w: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cs="宋体"/>
                <w:szCs w:val="21"/>
                <w:highlight w:val="none"/>
              </w:rPr>
            </w:pPr>
          </w:p>
          <w:p>
            <w:pPr>
              <w:pStyle w:val="2"/>
              <w:rPr>
                <w:rFonts w:hint="eastAsia" w:ascii="宋体" w:hAnsi="宋体" w:eastAsia="宋体" w:cs="宋体"/>
                <w:szCs w:val="21"/>
                <w:highlight w:val="none"/>
                <w:lang w:val="en-US" w:eastAsia="zh-CN"/>
              </w:rPr>
            </w:pPr>
            <w:r>
              <w:rPr>
                <w:rFonts w:hint="eastAsia" w:cs="宋体"/>
                <w:b/>
                <w:bCs/>
                <w:color w:val="1552D1"/>
                <w:szCs w:val="21"/>
                <w:highlight w:val="no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752" w:type="dxa"/>
            <w:vAlign w:val="center"/>
          </w:tcPr>
          <w:p>
            <w:pPr>
              <w:rPr>
                <w:rFonts w:ascii="宋体" w:hAnsi="宋体" w:cs="宋体"/>
                <w:szCs w:val="21"/>
              </w:rPr>
            </w:pPr>
            <w:r>
              <w:rPr>
                <w:rFonts w:hint="eastAsia" w:ascii="宋体" w:hAnsi="宋体" w:cs="宋体"/>
                <w:szCs w:val="21"/>
              </w:rPr>
              <w:t>运行策划和控制</w:t>
            </w:r>
          </w:p>
        </w:tc>
        <w:tc>
          <w:tcPr>
            <w:tcW w:w="1215" w:type="dxa"/>
            <w:vAlign w:val="center"/>
          </w:tcPr>
          <w:p>
            <w:pPr>
              <w:rPr>
                <w:rFonts w:ascii="宋体" w:hAnsi="宋体" w:cs="宋体"/>
                <w:szCs w:val="21"/>
              </w:rPr>
            </w:pPr>
            <w:r>
              <w:rPr>
                <w:rFonts w:hint="eastAsia" w:ascii="宋体" w:hAnsi="宋体" w:cs="宋体"/>
                <w:szCs w:val="21"/>
              </w:rPr>
              <w:t xml:space="preserve">Q：8.1 </w:t>
            </w:r>
          </w:p>
        </w:tc>
        <w:tc>
          <w:tcPr>
            <w:tcW w:w="10100" w:type="dxa"/>
            <w:vAlign w:val="center"/>
          </w:tcPr>
          <w:p>
            <w:pPr>
              <w:spacing w:before="93" w:beforeLines="30" w:after="93" w:afterLines="30"/>
              <w:ind w:firstLine="420" w:firstLineChars="200"/>
              <w:jc w:val="left"/>
              <w:rPr>
                <w:rFonts w:hint="eastAsia"/>
                <w:color w:val="FF0000"/>
              </w:rPr>
            </w:pPr>
            <w:r>
              <w:rPr>
                <w:rFonts w:hint="eastAsia"/>
                <w:color w:val="FF0000"/>
                <w:lang w:val="en-US" w:eastAsia="zh-CN"/>
              </w:rPr>
              <w:t>远程审核：</w:t>
            </w:r>
            <w:r>
              <w:rPr>
                <w:rFonts w:hint="eastAsia"/>
                <w:color w:val="FF0000"/>
              </w:rPr>
              <w:t>组织对蒸压加气混凝土砌块的生产及销售过程进行了策划。</w:t>
            </w:r>
          </w:p>
          <w:p>
            <w:pPr>
              <w:pStyle w:val="7"/>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补充现场审核：组织</w:t>
            </w:r>
            <w:r>
              <w:rPr>
                <w:rFonts w:hint="default" w:ascii="宋体" w:hAnsi="宋体" w:eastAsia="宋体" w:cs="宋体"/>
                <w:color w:val="0000FF"/>
                <w:kern w:val="2"/>
                <w:sz w:val="21"/>
                <w:szCs w:val="21"/>
                <w:lang w:val="en-US" w:eastAsia="zh-CN" w:bidi="ar-SA"/>
              </w:rPr>
              <w:t>蒸压加气混凝土砌块的生产</w:t>
            </w:r>
            <w:r>
              <w:rPr>
                <w:rFonts w:hint="eastAsia" w:ascii="宋体" w:hAnsi="宋体" w:eastAsia="宋体" w:cs="宋体"/>
                <w:color w:val="0000FF"/>
                <w:kern w:val="2"/>
                <w:sz w:val="21"/>
                <w:szCs w:val="21"/>
                <w:lang w:val="en-US" w:eastAsia="zh-CN" w:bidi="ar-SA"/>
              </w:rPr>
              <w:t>过程进行了策划。</w:t>
            </w:r>
          </w:p>
          <w:p>
            <w:pPr>
              <w:spacing w:before="93" w:beforeLines="30" w:after="93" w:afterLines="30"/>
              <w:ind w:firstLine="420" w:firstLineChars="200"/>
              <w:jc w:val="left"/>
            </w:pPr>
            <w:r>
              <w:rPr>
                <w:rFonts w:hint="eastAsia"/>
              </w:rPr>
              <w:t>产品执行：《蒸压加气混凝土砌块》GB11968-2006，《蒸压加气混凝土性能试验方法》GB11969-2008等标准及顾客要求等，并作为产品的质量目标和要求。</w:t>
            </w:r>
          </w:p>
          <w:p>
            <w:pPr>
              <w:spacing w:before="93" w:beforeLines="30" w:after="93" w:afterLines="30"/>
              <w:ind w:firstLine="420" w:firstLineChars="200"/>
              <w:jc w:val="left"/>
            </w:pPr>
            <w:r>
              <w:rPr>
                <w:rFonts w:hint="eastAsia"/>
              </w:rPr>
              <w:t>制定的产品生产工艺图和销售流程图清晰地描述了产品生产服务的过程。</w:t>
            </w:r>
          </w:p>
          <w:p>
            <w:pPr>
              <w:spacing w:before="93" w:beforeLines="30" w:after="93" w:afterLines="30"/>
              <w:ind w:firstLine="420" w:firstLineChars="200"/>
              <w:jc w:val="left"/>
            </w:pPr>
            <w:r>
              <w:rPr>
                <w:rFonts w:hint="eastAsia"/>
              </w:rPr>
              <w:t>产品实现流程：</w:t>
            </w:r>
          </w:p>
          <w:p>
            <w:pPr>
              <w:spacing w:before="93" w:beforeLines="30" w:after="93" w:afterLines="30"/>
              <w:ind w:firstLine="420" w:firstLineChars="200"/>
              <w:jc w:val="left"/>
            </w:pPr>
            <w:r>
              <w:rPr>
                <w:rFonts w:hint="eastAsia"/>
              </w:rPr>
              <w:t>蒸压加气混凝土砌块的生产流程：</w:t>
            </w:r>
          </w:p>
          <w:p>
            <w:pPr>
              <w:spacing w:before="93" w:beforeLines="30" w:after="93" w:afterLines="30"/>
              <w:ind w:firstLine="420" w:firstLineChars="200"/>
              <w:jc w:val="left"/>
              <w:rPr>
                <w:rFonts w:hint="eastAsia"/>
                <w:color w:val="FF0000"/>
                <w:highlight w:val="none"/>
              </w:rPr>
            </w:pPr>
            <w:r>
              <w:rPr>
                <w:rFonts w:hint="eastAsia"/>
                <w:color w:val="FF0000"/>
                <w:highlight w:val="none"/>
                <w:lang w:val="en-US" w:eastAsia="zh-CN"/>
              </w:rPr>
              <w:t>远程审核：</w:t>
            </w:r>
            <w:r>
              <w:rPr>
                <w:rFonts w:hint="eastAsia"/>
                <w:color w:val="FF0000"/>
                <w:highlight w:val="none"/>
              </w:rPr>
              <w:t>原材料制备→配料→磨细→制浆→搅拌浇注→模具→成型→检验→入库→交付</w:t>
            </w:r>
          </w:p>
          <w:p>
            <w:pPr>
              <w:spacing w:before="93" w:beforeLines="30" w:after="93" w:afterLines="30"/>
              <w:ind w:firstLine="420" w:firstLineChars="200"/>
              <w:jc w:val="left"/>
              <w:rPr>
                <w:rFonts w:hint="eastAsia"/>
                <w:color w:val="1739E7"/>
                <w:highlight w:val="none"/>
              </w:rPr>
            </w:pPr>
            <w:r>
              <w:rPr>
                <w:rFonts w:hint="eastAsia"/>
                <w:color w:val="1739E7"/>
                <w:highlight w:val="none"/>
                <w:lang w:val="en-US" w:eastAsia="zh-CN"/>
              </w:rPr>
              <w:t>补充现场审核：</w:t>
            </w:r>
            <w:r>
              <w:rPr>
                <w:rFonts w:hint="eastAsia"/>
                <w:color w:val="1739E7"/>
                <w:highlight w:val="none"/>
              </w:rPr>
              <w:t>原材料细磨→制浆→</w:t>
            </w:r>
            <w:r>
              <w:rPr>
                <w:rFonts w:hint="eastAsia"/>
                <w:color w:val="1739E7"/>
                <w:highlight w:val="none"/>
                <w:lang w:val="en-US" w:eastAsia="zh-CN"/>
              </w:rPr>
              <w:t>配料</w:t>
            </w:r>
            <w:r>
              <w:rPr>
                <w:rFonts w:hint="eastAsia"/>
                <w:color w:val="1739E7"/>
                <w:highlight w:val="none"/>
              </w:rPr>
              <w:t>→搅拌浇注→</w:t>
            </w:r>
            <w:r>
              <w:rPr>
                <w:rFonts w:hint="eastAsia"/>
                <w:color w:val="1739E7"/>
                <w:highlight w:val="none"/>
                <w:lang w:val="en-US" w:eastAsia="zh-CN"/>
              </w:rPr>
              <w:t>静养</w:t>
            </w:r>
            <w:r>
              <w:rPr>
                <w:rFonts w:hint="eastAsia"/>
                <w:color w:val="1739E7"/>
                <w:highlight w:val="none"/>
              </w:rPr>
              <w:t>→</w:t>
            </w:r>
            <w:r>
              <w:rPr>
                <w:rFonts w:hint="eastAsia"/>
                <w:color w:val="1739E7"/>
                <w:highlight w:val="none"/>
                <w:lang w:val="en-US" w:eastAsia="zh-CN"/>
              </w:rPr>
              <w:t>切割</w:t>
            </w:r>
            <w:r>
              <w:rPr>
                <w:rFonts w:hint="eastAsia"/>
                <w:color w:val="1739E7"/>
                <w:highlight w:val="none"/>
              </w:rPr>
              <w:t>→</w:t>
            </w:r>
            <w:r>
              <w:rPr>
                <w:rFonts w:hint="eastAsia"/>
                <w:color w:val="1739E7"/>
                <w:highlight w:val="none"/>
                <w:lang w:val="en-US" w:eastAsia="zh-CN"/>
              </w:rPr>
              <w:t>蒸养</w:t>
            </w:r>
            <w:r>
              <w:rPr>
                <w:rFonts w:hint="eastAsia"/>
                <w:color w:val="1739E7"/>
                <w:highlight w:val="none"/>
              </w:rPr>
              <w:t>→检验→入库→交付</w:t>
            </w:r>
          </w:p>
          <w:p>
            <w:pPr>
              <w:tabs>
                <w:tab w:val="left" w:pos="840"/>
              </w:tabs>
              <w:spacing w:before="93" w:beforeLines="30" w:after="93" w:afterLines="30"/>
              <w:ind w:firstLine="420" w:firstLineChars="200"/>
            </w:pPr>
            <w:r>
              <w:rPr>
                <w:rFonts w:hint="eastAsia"/>
              </w:rPr>
              <w:t>明确了质量目标和相关的产品特性要求：产品出货合格率100％；顾客满意度95分以上，根据客户技术要求进行生产和服务的提供。</w:t>
            </w:r>
          </w:p>
          <w:p>
            <w:pPr>
              <w:spacing w:before="93" w:beforeLines="30" w:after="93" w:afterLines="30"/>
              <w:ind w:firstLine="420" w:firstLineChars="200"/>
              <w:rPr>
                <w:rFonts w:hint="eastAsia"/>
                <w:color w:val="auto"/>
                <w:highlight w:val="none"/>
              </w:rPr>
            </w:pPr>
            <w:r>
              <w:rPr>
                <w:rFonts w:hint="eastAsia"/>
                <w:color w:val="auto"/>
                <w:highlight w:val="none"/>
              </w:rPr>
              <w:t>特殊过程是搅拌过程，提供特殊过程的《特殊过程确认单》，对搅拌过程进行了过程确认。</w:t>
            </w:r>
          </w:p>
          <w:p>
            <w:pPr>
              <w:pStyle w:val="2"/>
              <w:ind w:left="0" w:leftChars="0" w:firstLine="420" w:firstLineChars="200"/>
              <w:rPr>
                <w:rFonts w:hint="default" w:eastAsia="宋体"/>
                <w:color w:val="1552D1"/>
                <w:highlight w:val="none"/>
                <w:lang w:val="en-US" w:eastAsia="zh-CN"/>
              </w:rPr>
            </w:pPr>
            <w:r>
              <w:rPr>
                <w:rFonts w:hint="eastAsia"/>
                <w:color w:val="1552D1"/>
                <w:highlight w:val="none"/>
                <w:lang w:val="en-US" w:eastAsia="zh-CN"/>
              </w:rPr>
              <w:t>补充现场审核：关键过程：配料、高压蒸养。</w:t>
            </w:r>
          </w:p>
          <w:p>
            <w:pPr>
              <w:spacing w:before="93" w:beforeLines="30" w:after="93" w:afterLines="30"/>
              <w:ind w:firstLine="420" w:firstLineChars="200"/>
              <w:rPr>
                <w:rFonts w:hint="default" w:eastAsia="宋体"/>
                <w:highlight w:val="none"/>
                <w:lang w:val="en-US" w:eastAsia="zh-CN"/>
              </w:rPr>
            </w:pPr>
            <w:r>
              <w:rPr>
                <w:rFonts w:hint="eastAsia"/>
                <w:highlight w:val="none"/>
              </w:rPr>
              <w:t>经识别，</w:t>
            </w:r>
            <w:r>
              <w:rPr>
                <w:rFonts w:hint="eastAsia"/>
                <w:highlight w:val="none"/>
                <w:lang w:val="en-US" w:eastAsia="zh-CN"/>
              </w:rPr>
              <w:t>外包过程：产品出厂检测项目外包，提供有外包委托协议。详见附件资料。</w:t>
            </w:r>
          </w:p>
          <w:p>
            <w:pPr>
              <w:spacing w:before="93" w:beforeLines="30" w:after="93" w:afterLines="30"/>
              <w:ind w:firstLine="420" w:firstLineChars="200"/>
              <w:jc w:val="left"/>
            </w:pPr>
            <w:r>
              <w:rPr>
                <w:rFonts w:hint="eastAsia"/>
              </w:rPr>
              <w:t>组织确定了《工艺流程卡》、《生产管理制度》、《工序操作制度》、《环境管理制度》、《执行标准》等文件，描述了产品实现的方法和接收准则。</w:t>
            </w:r>
          </w:p>
          <w:p>
            <w:pPr>
              <w:spacing w:before="93" w:beforeLines="30" w:after="93" w:afterLines="30"/>
              <w:ind w:firstLine="420" w:firstLineChars="200"/>
              <w:jc w:val="left"/>
            </w:pPr>
            <w:r>
              <w:rPr>
                <w:rFonts w:hint="eastAsia"/>
              </w:rPr>
              <w:t>公司为产品实现提供了充足的资源，如：设备、人员、工厂车间、物料等。</w:t>
            </w:r>
          </w:p>
          <w:p>
            <w:pPr>
              <w:spacing w:before="93" w:beforeLines="30" w:after="93" w:afterLines="30"/>
              <w:ind w:firstLine="420" w:firstLineChars="200"/>
              <w:jc w:val="left"/>
            </w:pPr>
            <w:r>
              <w:rPr>
                <w:rFonts w:hint="eastAsia"/>
              </w:rPr>
              <w:t>为提供证据公司确定了有关产品实现的记录，如《入库单》、《安全监视记录》、《设备保养记录》、《成品检验记录》等。</w:t>
            </w:r>
          </w:p>
          <w:p>
            <w:pPr>
              <w:spacing w:before="93" w:beforeLines="30" w:after="93" w:afterLines="30"/>
              <w:ind w:firstLine="420" w:firstLineChars="200"/>
              <w:jc w:val="left"/>
            </w:pPr>
            <w:r>
              <w:rPr>
                <w:rFonts w:hint="eastAsia"/>
              </w:rPr>
              <w:t>与部门负责人沟通，在产品实现过程中，当生产工艺、条件、环境或人员等因素发生变化，对产品质量有影响或不满足顾客要求时，生产部根据实际情况组织技术人员、销售部、质量部负责人员商议生产更改事项，将结果及时通报相关部门。</w:t>
            </w:r>
          </w:p>
          <w:p>
            <w:pPr>
              <w:spacing w:before="93" w:beforeLines="30" w:after="93" w:afterLines="30"/>
              <w:ind w:firstLine="420" w:firstLineChars="200"/>
              <w:jc w:val="left"/>
            </w:pPr>
            <w:r>
              <w:rPr>
                <w:rFonts w:hint="eastAsia"/>
              </w:rPr>
              <w:t>目前暂无更改情况。</w:t>
            </w:r>
          </w:p>
          <w:p>
            <w:pPr>
              <w:spacing w:before="93" w:beforeLines="30" w:after="93" w:afterLines="30"/>
              <w:ind w:firstLine="420" w:firstLineChars="200"/>
              <w:rPr>
                <w:rFonts w:hint="eastAsia"/>
              </w:rPr>
            </w:pPr>
            <w:r>
              <w:rPr>
                <w:rFonts w:hint="eastAsia"/>
              </w:rPr>
              <w:t>组织对产品实现的策划管理符合标准的要求。</w:t>
            </w:r>
          </w:p>
          <w:p>
            <w:pPr>
              <w:pStyle w:val="4"/>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经补充现场审核确认：</w:t>
            </w:r>
          </w:p>
          <w:p>
            <w:pPr>
              <w:pStyle w:val="4"/>
              <w:numPr>
                <w:ilvl w:val="0"/>
                <w:numId w:val="0"/>
              </w:numPr>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（1）标示为红色字体（A）（B）两条款内容见补充现场审核记录（蓝色字内容）；</w:t>
            </w:r>
          </w:p>
          <w:p>
            <w:pPr>
              <w:pStyle w:val="4"/>
              <w:numPr>
                <w:ilvl w:val="0"/>
                <w:numId w:val="0"/>
              </w:numPr>
              <w:rPr>
                <w:sz w:val="21"/>
                <w:szCs w:val="21"/>
              </w:rPr>
            </w:pPr>
            <w:r>
              <w:rPr>
                <w:rFonts w:hint="eastAsia" w:ascii="宋体" w:hAnsi="宋体" w:cs="宋体"/>
                <w:color w:val="0000FF"/>
                <w:sz w:val="21"/>
                <w:szCs w:val="21"/>
                <w:lang w:val="en-US" w:eastAsia="zh-CN"/>
              </w:rPr>
              <w:t>（2）压力容器、叉车、压力表的内容见蓝色审核记录；</w:t>
            </w:r>
          </w:p>
          <w:p>
            <w:pPr>
              <w:pStyle w:val="4"/>
              <w:numPr>
                <w:ilvl w:val="0"/>
                <w:numId w:val="0"/>
              </w:numPr>
              <w:rPr>
                <w:sz w:val="21"/>
                <w:szCs w:val="21"/>
              </w:rPr>
            </w:pPr>
            <w:r>
              <w:rPr>
                <w:rFonts w:hint="eastAsia" w:ascii="宋体" w:hAnsi="宋体" w:cs="宋体"/>
                <w:color w:val="0000FF"/>
                <w:sz w:val="21"/>
                <w:szCs w:val="21"/>
                <w:lang w:val="en-US" w:eastAsia="zh-CN"/>
              </w:rPr>
              <w:t>（3）除上述（1）、（2）条款外，Q审核内容与远程审核一致。</w:t>
            </w:r>
          </w:p>
          <w:p>
            <w:pPr>
              <w:pStyle w:val="7"/>
              <w:jc w:val="both"/>
            </w:pP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752" w:type="dxa"/>
            <w:vAlign w:val="center"/>
          </w:tcPr>
          <w:p>
            <w:pPr>
              <w:rPr>
                <w:rFonts w:ascii="宋体" w:hAnsi="宋体" w:cs="宋体"/>
                <w:szCs w:val="21"/>
              </w:rPr>
            </w:pPr>
            <w:r>
              <w:rPr>
                <w:rFonts w:hint="eastAsia" w:ascii="宋体" w:hAnsi="宋体" w:cs="宋体"/>
                <w:szCs w:val="21"/>
              </w:rPr>
              <w:t>运行的策划控制</w:t>
            </w:r>
          </w:p>
        </w:tc>
        <w:tc>
          <w:tcPr>
            <w:tcW w:w="1215" w:type="dxa"/>
            <w:vAlign w:val="center"/>
          </w:tcPr>
          <w:p>
            <w:pPr>
              <w:rPr>
                <w:rFonts w:ascii="宋体" w:hAnsi="宋体" w:cs="宋体"/>
                <w:szCs w:val="21"/>
              </w:rPr>
            </w:pPr>
            <w:r>
              <w:rPr>
                <w:rFonts w:hint="eastAsia" w:ascii="宋体" w:hAnsi="宋体" w:cs="宋体"/>
                <w:szCs w:val="21"/>
              </w:rPr>
              <w:t>EO：8.1</w:t>
            </w:r>
          </w:p>
        </w:tc>
        <w:tc>
          <w:tcPr>
            <w:tcW w:w="10100" w:type="dxa"/>
            <w:vAlign w:val="center"/>
          </w:tcPr>
          <w:p>
            <w:pPr>
              <w:ind w:firstLine="420" w:firstLineChars="200"/>
              <w:jc w:val="left"/>
            </w:pPr>
            <w:r>
              <w:rPr>
                <w:rFonts w:hint="eastAsia"/>
              </w:rPr>
              <w:t>编制与环境、安全体系运行控制有关的文件有《生产过程运行控制程序》、《风险和机遇控制程序》、《环境管理制度》、《消防安全管理制度》、《职业健康管理制度》、《消防安全管理制度》、《劳动防护用品发放管理制度》、《基础设施控制程序》、《应急预案》等。</w:t>
            </w:r>
          </w:p>
          <w:p>
            <w:pPr>
              <w:snapToGrid w:val="0"/>
              <w:spacing w:before="93" w:beforeLines="30" w:after="93" w:afterLines="30"/>
              <w:ind w:firstLine="420" w:firstLineChars="200"/>
              <w:jc w:val="left"/>
            </w:pPr>
            <w:r>
              <w:rPr>
                <w:rFonts w:hint="eastAsia"/>
              </w:rPr>
              <w:t>查到2020年9月18日环评报告表，检测结果符合法律法规要求。</w:t>
            </w:r>
          </w:p>
          <w:p>
            <w:pPr>
              <w:ind w:firstLine="420" w:firstLineChars="200"/>
              <w:jc w:val="left"/>
            </w:pPr>
            <w:r>
              <w:rPr>
                <w:rFonts w:hint="eastAsia"/>
              </w:rPr>
              <w:t>1、废水管控：</w:t>
            </w:r>
          </w:p>
          <w:p>
            <w:pPr>
              <w:ind w:firstLine="420" w:firstLineChars="200"/>
              <w:jc w:val="left"/>
            </w:pPr>
            <w:r>
              <w:rPr>
                <w:rFonts w:hint="eastAsia"/>
              </w:rPr>
              <w:t>无生产废水排放。球磨机循环冷却水循环使用，不外排；蒸养冷凝水回用于生产环节，不外排;设备清洗用水不使用新鲜水，清洗后的废水排入废水回收池内循环使用，此类废水自然蒸发损耗不外排。锅炉软水设备与锅炉废水做为清净下水，直接进入市政雨水管网。</w:t>
            </w:r>
          </w:p>
          <w:p>
            <w:pPr>
              <w:ind w:firstLine="420" w:firstLineChars="200"/>
              <w:jc w:val="left"/>
            </w:pPr>
            <w:r>
              <w:rPr>
                <w:rFonts w:hint="eastAsia"/>
              </w:rPr>
              <w:t>外排废水主要为生活废水和食堂废水，一并进入化粪池进行预处理，然后排入园区污水处理厂进行处理后外排。</w:t>
            </w:r>
          </w:p>
          <w:p>
            <w:pPr>
              <w:ind w:firstLine="420" w:firstLineChars="200"/>
              <w:jc w:val="left"/>
            </w:pPr>
            <w:r>
              <w:rPr>
                <w:rFonts w:hint="eastAsia"/>
              </w:rPr>
              <w:t>2、废气管控：</w:t>
            </w:r>
          </w:p>
          <w:p>
            <w:pPr>
              <w:ind w:firstLine="420" w:firstLineChars="200"/>
              <w:jc w:val="left"/>
            </w:pPr>
            <w:r>
              <w:rPr>
                <w:rFonts w:hint="eastAsia"/>
              </w:rPr>
              <w:t>废气主要是生石灰、粉煤灰、水泥卸料和上料粉尘、车辆运输粉尘、石灰和水泥筒仓进料粉尘。</w:t>
            </w:r>
          </w:p>
          <w:p>
            <w:pPr>
              <w:ind w:firstLine="420" w:firstLineChars="200"/>
              <w:jc w:val="left"/>
            </w:pPr>
            <w:r>
              <w:rPr>
                <w:rFonts w:hint="eastAsia"/>
              </w:rPr>
              <w:t>粉尘：原料库和车间密闭、采用地下皮带式输送砂料，在工作区安装喷雾降尘措施；生产区域无组织排放的粉尘，主要通过加强车间保洁措施，减轻对周边环境的不利影响。石灰和水泥筒仓进料粉尘：通过设备自带的脉冲除尘器经高效过滤器过滤后在密闭车间无组织排放。</w:t>
            </w:r>
          </w:p>
          <w:p>
            <w:pPr>
              <w:ind w:firstLine="420" w:firstLineChars="200"/>
              <w:jc w:val="left"/>
            </w:pPr>
            <w:r>
              <w:rPr>
                <w:rFonts w:hint="eastAsia"/>
              </w:rPr>
              <w:t>食堂烟气：采用高效静电油烟净化器处理，处理后油烟经风管屋顶排放。</w:t>
            </w:r>
          </w:p>
          <w:p>
            <w:pPr>
              <w:ind w:firstLine="420" w:firstLineChars="200"/>
              <w:jc w:val="left"/>
            </w:pPr>
            <w:r>
              <w:rPr>
                <w:rFonts w:hint="eastAsia"/>
              </w:rPr>
              <w:t>3、噪声管控：</w:t>
            </w:r>
          </w:p>
          <w:p>
            <w:pPr>
              <w:ind w:firstLine="420" w:firstLineChars="200"/>
              <w:jc w:val="left"/>
            </w:pPr>
            <w:r>
              <w:rPr>
                <w:rFonts w:hint="eastAsia"/>
              </w:rPr>
              <w:t>噪声主要来源于球磨机、搅拌机、混料机、等设备运行时产生的机械噪声。</w:t>
            </w:r>
          </w:p>
          <w:p>
            <w:pPr>
              <w:ind w:firstLine="420" w:firstLineChars="200"/>
              <w:jc w:val="left"/>
            </w:pPr>
            <w:r>
              <w:rPr>
                <w:rFonts w:hint="eastAsia"/>
              </w:rPr>
              <w:t>公司从源头控制噪声的产生（提供照片：</w:t>
            </w:r>
            <w:r>
              <w:rPr>
                <w:rFonts w:hint="eastAsia"/>
              </w:rPr>
              <w:drawing>
                <wp:inline distT="0" distB="0" distL="114300" distR="114300">
                  <wp:extent cx="4692015" cy="1431290"/>
                  <wp:effectExtent l="0" t="0" r="13335" b="16510"/>
                  <wp:docPr id="9" name="图片 9" descr="减震降噪设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减震降噪设施2"/>
                          <pic:cNvPicPr>
                            <a:picLocks noChangeAspect="1"/>
                          </pic:cNvPicPr>
                        </pic:nvPicPr>
                        <pic:blipFill>
                          <a:blip r:embed="rId8"/>
                          <a:stretch>
                            <a:fillRect/>
                          </a:stretch>
                        </pic:blipFill>
                        <pic:spPr>
                          <a:xfrm>
                            <a:off x="0" y="0"/>
                            <a:ext cx="4692015" cy="1431290"/>
                          </a:xfrm>
                          <a:prstGeom prst="rect">
                            <a:avLst/>
                          </a:prstGeom>
                        </pic:spPr>
                      </pic:pic>
                    </a:graphicData>
                  </a:graphic>
                </wp:inline>
              </w:drawing>
            </w:r>
            <w:r>
              <w:rPr>
                <w:rFonts w:hint="eastAsia"/>
              </w:rPr>
              <w:t>），通过选用低噪声设备，合理的进行平面布局，将高噪音设备厂房内进行布置，并对设备进行减振、隔声处理，加强厂区内绿化等措施，降低噪声影响。对运输车辆产生的噪声，通过采取低速行驶、禁止鸣笛等措施。项目周边200米范围内无居民区、学校及医院等环境敏感目标。经噪声监测符合标准要求。</w:t>
            </w:r>
          </w:p>
          <w:p>
            <w:pPr>
              <w:ind w:firstLine="420" w:firstLineChars="200"/>
              <w:jc w:val="left"/>
            </w:pPr>
            <w:r>
              <w:rPr>
                <w:rFonts w:hint="eastAsia"/>
              </w:rPr>
              <w:t>4、固废管控：</w:t>
            </w:r>
          </w:p>
          <w:p>
            <w:pPr>
              <w:ind w:firstLine="420" w:firstLineChars="200"/>
              <w:jc w:val="left"/>
            </w:pPr>
            <w:r>
              <w:rPr>
                <w:rFonts w:hint="eastAsia"/>
              </w:rPr>
              <w:t>固体废物包括生产过程中切割、蒸养、掰板、分等时产生的废料及生产过程中使用原料的包装材料等，主要包括：切割边角料、废防腐剂包装桶、废脱模剂包装桶、其他包装材料、除尘粉尘和生活垃圾等。</w:t>
            </w:r>
          </w:p>
          <w:p>
            <w:pPr>
              <w:ind w:firstLine="420" w:firstLineChars="200"/>
              <w:jc w:val="left"/>
            </w:pPr>
            <w:r>
              <w:rPr>
                <w:rFonts w:hint="eastAsia"/>
              </w:rPr>
              <w:t>切割边角料生产线直接回收利用，除尘粉尘回用；废防腐剂包装桶、废脱模剂包装桶由厂家回收；其他包装材料和生活垃圾交由环卫部门统一处理。</w:t>
            </w:r>
          </w:p>
          <w:p>
            <w:pPr>
              <w:numPr>
                <w:ilvl w:val="0"/>
                <w:numId w:val="3"/>
              </w:numPr>
              <w:ind w:firstLine="420" w:firstLineChars="200"/>
              <w:jc w:val="left"/>
            </w:pPr>
            <w:r>
              <w:rPr>
                <w:rFonts w:hint="eastAsia"/>
              </w:rPr>
              <w:t>能源资源管控：</w:t>
            </w:r>
          </w:p>
          <w:p>
            <w:pPr>
              <w:ind w:firstLine="420" w:firstLineChars="200"/>
              <w:jc w:val="left"/>
            </w:pPr>
            <w:r>
              <w:rPr>
                <w:rFonts w:hint="eastAsia"/>
              </w:rPr>
              <w:t>生产过程注意节水、节电、节原材料，人走关闭设备和照明开关，现场未发现有漏水和浪费电能的现象。</w:t>
            </w:r>
          </w:p>
          <w:p>
            <w:pPr>
              <w:ind w:firstLine="420" w:firstLineChars="200"/>
              <w:jc w:val="left"/>
            </w:pPr>
            <w:r>
              <w:rPr>
                <w:rFonts w:hint="eastAsia"/>
              </w:rPr>
              <w:t>6、产品生命周期的环境管控：</w:t>
            </w:r>
          </w:p>
          <w:p>
            <w:pPr>
              <w:ind w:firstLine="420" w:firstLineChars="200"/>
              <w:jc w:val="left"/>
            </w:pPr>
            <w:r>
              <w:rPr>
                <w:rFonts w:hint="eastAsia"/>
              </w:rPr>
              <w:t>公司从工艺设计和采购产品时已考虑了产品的环保性与节能性，生产过程中，严格按照环保等管理制度实施，控制好原辅材料的用量，避免浪费，生命周期终了时混凝土和钢筋还可以回收再利用。</w:t>
            </w:r>
          </w:p>
          <w:p>
            <w:pPr>
              <w:ind w:firstLine="420" w:firstLineChars="200"/>
              <w:jc w:val="left"/>
            </w:pPr>
            <w:r>
              <w:rPr>
                <w:rFonts w:hint="eastAsia"/>
              </w:rPr>
              <w:t>7、潜在火灾管控：</w:t>
            </w:r>
          </w:p>
          <w:p>
            <w:pPr>
              <w:ind w:firstLine="420" w:firstLineChars="200"/>
              <w:jc w:val="left"/>
            </w:pPr>
            <w:r>
              <w:rPr>
                <w:rFonts w:hint="eastAsia"/>
              </w:rPr>
              <w:t>公司生产车间和办公区域配备了消防栓和灭火器，均符合要求。</w:t>
            </w:r>
          </w:p>
          <w:p>
            <w:pPr>
              <w:ind w:firstLine="420" w:firstLineChars="200"/>
              <w:jc w:val="left"/>
            </w:pPr>
            <w:r>
              <w:rPr>
                <w:rFonts w:hint="eastAsia"/>
              </w:rPr>
              <w:t>8、安全防护：</w:t>
            </w:r>
          </w:p>
          <w:p>
            <w:pPr>
              <w:ind w:firstLine="420" w:firstLineChars="200"/>
              <w:jc w:val="left"/>
            </w:pPr>
            <w:r>
              <w:rPr>
                <w:rFonts w:hint="eastAsia"/>
              </w:rPr>
              <w:t>公司给员工发放手套、口罩、耳塞、毛巾、防护眼镜等劳保用品。</w:t>
            </w:r>
          </w:p>
          <w:p>
            <w:pPr>
              <w:ind w:firstLine="420" w:firstLineChars="200"/>
              <w:jc w:val="left"/>
            </w:pPr>
            <w:r>
              <w:rPr>
                <w:rFonts w:hint="eastAsia"/>
              </w:rPr>
              <w:t>9、能提供防止员工意外伤害加重的急救药品如创可贴、杀菌药水等。</w:t>
            </w:r>
          </w:p>
          <w:p>
            <w:pPr>
              <w:ind w:firstLine="420" w:firstLineChars="200"/>
              <w:jc w:val="left"/>
            </w:pPr>
            <w:r>
              <w:rPr>
                <w:rFonts w:hint="eastAsia"/>
              </w:rPr>
              <w:t>10、为主要长期生产员工上社保和工伤保险，查见了交款证明。</w:t>
            </w:r>
          </w:p>
          <w:p>
            <w:pPr>
              <w:ind w:firstLine="420" w:firstLineChars="200"/>
              <w:jc w:val="left"/>
            </w:pPr>
            <w:r>
              <w:rPr>
                <w:rFonts w:hint="eastAsia"/>
              </w:rPr>
              <w:t>11、员工饮用水为纯净水通过饮水机饮用。</w:t>
            </w:r>
          </w:p>
          <w:p>
            <w:pPr>
              <w:ind w:firstLine="420" w:firstLineChars="200"/>
              <w:jc w:val="left"/>
            </w:pPr>
            <w:r>
              <w:rPr>
                <w:rFonts w:hint="eastAsia"/>
              </w:rPr>
              <w:t>远程查看运行控制：</w:t>
            </w:r>
          </w:p>
          <w:p>
            <w:pPr>
              <w:ind w:firstLine="420" w:firstLineChars="200"/>
              <w:jc w:val="left"/>
            </w:pPr>
            <w:r>
              <w:rPr>
                <w:rFonts w:hint="eastAsia"/>
              </w:rPr>
              <w:t>视频巡视办公及生产区域配备有消防栓和灭火器多个，均有效。</w:t>
            </w:r>
          </w:p>
          <w:p>
            <w:pPr>
              <w:ind w:firstLine="420" w:firstLineChars="200"/>
              <w:jc w:val="left"/>
            </w:pPr>
            <w:r>
              <w:rPr>
                <w:rFonts w:hint="eastAsia"/>
              </w:rPr>
              <w:t>远程查看各工序设备运转正常，人员操作方法合理，并佩带要相应的防护措施，如耳塞、口罩、防护眼镜等。操作人员穿戴有工作衣、工作鞋、手套等安全防护用品。</w:t>
            </w:r>
          </w:p>
          <w:p>
            <w:pPr>
              <w:ind w:firstLine="420" w:firstLineChars="200"/>
              <w:jc w:val="left"/>
            </w:pPr>
            <w:r>
              <w:rPr>
                <w:rFonts w:hint="eastAsia"/>
              </w:rPr>
              <w:t>各车间安全设施设有提示说明，方便取用，未发现遮挡消防设施和挤占消防通道的情况。</w:t>
            </w:r>
          </w:p>
          <w:p>
            <w:pPr>
              <w:ind w:firstLine="420" w:firstLineChars="200"/>
              <w:jc w:val="left"/>
            </w:pPr>
            <w:r>
              <w:rPr>
                <w:rFonts w:hint="eastAsia"/>
              </w:rPr>
              <w:t xml:space="preserve"> </w:t>
            </w:r>
            <w:r>
              <w:rPr>
                <w:rFonts w:hint="eastAsia"/>
              </w:rPr>
              <w:drawing>
                <wp:inline distT="0" distB="0" distL="114300" distR="114300">
                  <wp:extent cx="1933575" cy="1343025"/>
                  <wp:effectExtent l="0" t="0" r="9525" b="9525"/>
                  <wp:docPr id="11" name="图片 11" descr="1611042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1042201(1)"/>
                          <pic:cNvPicPr>
                            <a:picLocks noChangeAspect="1"/>
                          </pic:cNvPicPr>
                        </pic:nvPicPr>
                        <pic:blipFill>
                          <a:blip r:embed="rId9"/>
                          <a:stretch>
                            <a:fillRect/>
                          </a:stretch>
                        </pic:blipFill>
                        <pic:spPr>
                          <a:xfrm>
                            <a:off x="0" y="0"/>
                            <a:ext cx="1933575" cy="1343025"/>
                          </a:xfrm>
                          <a:prstGeom prst="rect">
                            <a:avLst/>
                          </a:prstGeom>
                        </pic:spPr>
                      </pic:pic>
                    </a:graphicData>
                  </a:graphic>
                </wp:inline>
              </w:drawing>
            </w:r>
            <w:r>
              <w:rPr>
                <w:rFonts w:hint="eastAsia"/>
              </w:rPr>
              <w:t>、</w:t>
            </w:r>
            <w:r>
              <w:rPr>
                <w:rFonts w:hint="eastAsia"/>
              </w:rPr>
              <w:drawing>
                <wp:inline distT="0" distB="0" distL="114300" distR="114300">
                  <wp:extent cx="2448560" cy="1352550"/>
                  <wp:effectExtent l="0" t="0" r="8890" b="0"/>
                  <wp:docPr id="13" name="图片 13" descr="1611042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1042245(1)"/>
                          <pic:cNvPicPr>
                            <a:picLocks noChangeAspect="1"/>
                          </pic:cNvPicPr>
                        </pic:nvPicPr>
                        <pic:blipFill>
                          <a:blip r:embed="rId10"/>
                          <a:stretch>
                            <a:fillRect/>
                          </a:stretch>
                        </pic:blipFill>
                        <pic:spPr>
                          <a:xfrm>
                            <a:off x="0" y="0"/>
                            <a:ext cx="2448560" cy="1352550"/>
                          </a:xfrm>
                          <a:prstGeom prst="rect">
                            <a:avLst/>
                          </a:prstGeom>
                        </pic:spPr>
                      </pic:pic>
                    </a:graphicData>
                  </a:graphic>
                </wp:inline>
              </w:drawing>
            </w:r>
          </w:p>
          <w:p>
            <w:pPr>
              <w:autoSpaceDE w:val="0"/>
              <w:autoSpaceDN w:val="0"/>
              <w:adjustRightInd w:val="0"/>
              <w:ind w:firstLine="420" w:firstLineChars="200"/>
              <w:jc w:val="left"/>
            </w:pPr>
            <w:r>
              <w:rPr>
                <w:rFonts w:hint="eastAsia"/>
              </w:rPr>
              <w:t>观察材料制备区和浇注作业区：石灰块提升粉尘、石灰块入库粉尘，石灰破碎、石灰粉入库粉尘、水泥入库粉尘通过设备自带的布袋除尘器处理后，库顶直接排放。经第三方废气监测，能达标排放。</w:t>
            </w:r>
          </w:p>
          <w:p>
            <w:pPr>
              <w:autoSpaceDE w:val="0"/>
              <w:autoSpaceDN w:val="0"/>
              <w:adjustRightInd w:val="0"/>
              <w:jc w:val="left"/>
            </w:pPr>
            <w:r>
              <w:rPr>
                <w:rFonts w:hint="eastAsia"/>
              </w:rPr>
              <w:t>噪声主要来源于球磨机、搅拌机等设备运行时产生的机械噪声。通过选用低噪声设备，合理的进行平面布局，将高噪音设备厂房内进行布置，并对设备进行减振、隔声处理，降低了噪声影响。现场操作工戴有耳塞。经第三方噪声监测，能达标排放。</w:t>
            </w:r>
          </w:p>
          <w:p>
            <w:pPr>
              <w:autoSpaceDE w:val="0"/>
              <w:autoSpaceDN w:val="0"/>
              <w:adjustRightInd w:val="0"/>
              <w:ind w:firstLine="420" w:firstLineChars="200"/>
              <w:jc w:val="left"/>
            </w:pPr>
            <w:r>
              <w:rPr>
                <w:rFonts w:hint="eastAsia"/>
              </w:rPr>
              <w:t>观察后处理区：切割、蒸养、掰板等时会产生固废，除尘器收集尘与切割、蒸养、掰板等时产生的废料可做为原料回收综合利用。查看废料单独存放，每班次下班时统一打扫干净然后堆放到原材料区。</w:t>
            </w:r>
          </w:p>
          <w:p>
            <w:pPr>
              <w:spacing w:before="93" w:beforeLines="30" w:after="93" w:afterLines="30"/>
              <w:ind w:firstLine="420" w:firstLineChars="200"/>
              <w:rPr>
                <w:rFonts w:hint="eastAsia"/>
              </w:rPr>
            </w:pPr>
            <w:r>
              <w:rPr>
                <w:rFonts w:hint="eastAsia"/>
              </w:rPr>
              <w:t>经查组织的运行控制基本符合要求。</w:t>
            </w:r>
          </w:p>
          <w:p>
            <w:pPr>
              <w:pStyle w:val="7"/>
              <w:jc w:val="left"/>
              <w:rPr>
                <w:rFonts w:hint="default" w:eastAsia="宋体"/>
                <w:lang w:val="en-US" w:eastAsia="zh-CN"/>
              </w:rPr>
            </w:pPr>
            <w:r>
              <w:rPr>
                <w:rFonts w:hint="eastAsia" w:ascii="宋体" w:hAnsi="宋体" w:eastAsia="宋体" w:cs="宋体"/>
                <w:color w:val="0000FF"/>
                <w:kern w:val="2"/>
                <w:sz w:val="21"/>
                <w:szCs w:val="21"/>
                <w:lang w:val="en-US" w:eastAsia="zh-CN" w:bidi="ar-SA"/>
              </w:rPr>
              <w:t>见张磊补充现场审核记录。</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9" w:hRule="atLeast"/>
        </w:trPr>
        <w:tc>
          <w:tcPr>
            <w:tcW w:w="1752" w:type="dxa"/>
            <w:vAlign w:val="center"/>
          </w:tcPr>
          <w:p>
            <w:pPr>
              <w:rPr>
                <w:rFonts w:ascii="宋体" w:hAnsi="宋体" w:cs="宋体"/>
                <w:szCs w:val="21"/>
              </w:rPr>
            </w:pPr>
            <w:r>
              <w:rPr>
                <w:rFonts w:hint="eastAsia" w:ascii="宋体" w:hAnsi="宋体" w:cs="宋体"/>
                <w:szCs w:val="21"/>
              </w:rPr>
              <w:t>应急准备和响应</w:t>
            </w:r>
          </w:p>
        </w:tc>
        <w:tc>
          <w:tcPr>
            <w:tcW w:w="1215" w:type="dxa"/>
            <w:vAlign w:val="center"/>
          </w:tcPr>
          <w:p>
            <w:pPr>
              <w:rPr>
                <w:rFonts w:ascii="宋体" w:hAnsi="宋体" w:cs="宋体"/>
                <w:szCs w:val="21"/>
              </w:rPr>
            </w:pPr>
            <w:r>
              <w:rPr>
                <w:rFonts w:hint="eastAsia" w:ascii="宋体" w:hAnsi="宋体" w:cs="宋体"/>
                <w:szCs w:val="21"/>
              </w:rPr>
              <w:t xml:space="preserve">EO：8.2  </w:t>
            </w:r>
          </w:p>
        </w:tc>
        <w:tc>
          <w:tcPr>
            <w:tcW w:w="10100" w:type="dxa"/>
            <w:vAlign w:val="center"/>
          </w:tcPr>
          <w:p>
            <w:pPr>
              <w:tabs>
                <w:tab w:val="left" w:pos="6597"/>
              </w:tabs>
              <w:spacing w:before="93" w:beforeLines="30" w:after="93" w:afterLines="30"/>
              <w:ind w:firstLine="420" w:firstLineChars="200"/>
            </w:pPr>
            <w:r>
              <w:rPr>
                <w:rFonts w:hint="eastAsia"/>
              </w:rPr>
              <w:t>编制了《应急准备和响应程序》，建立了火灾、触电、机械伤害等应急预案，由综合组织演练，提供了应急预案演习记录，</w:t>
            </w:r>
          </w:p>
          <w:p>
            <w:pPr>
              <w:tabs>
                <w:tab w:val="left" w:pos="6597"/>
              </w:tabs>
              <w:spacing w:before="93" w:beforeLines="30" w:after="93" w:afterLines="30"/>
              <w:ind w:firstLine="420" w:firstLineChars="200"/>
            </w:pPr>
            <w:r>
              <w:rPr>
                <w:rFonts w:hint="eastAsia"/>
              </w:rPr>
              <w:t>查火灾应急演练记录，演练时间  2020年12月16日</w:t>
            </w:r>
          </w:p>
          <w:p>
            <w:pPr>
              <w:tabs>
                <w:tab w:val="left" w:pos="6597"/>
              </w:tabs>
              <w:spacing w:before="93" w:beforeLines="30" w:after="93" w:afterLines="30"/>
              <w:ind w:firstLine="420" w:firstLineChars="200"/>
            </w:pPr>
            <w:r>
              <w:rPr>
                <w:rFonts w:hint="eastAsia"/>
              </w:rPr>
              <w:t>负责人：樊卿、樊胜</w:t>
            </w:r>
          </w:p>
          <w:p>
            <w:pPr>
              <w:tabs>
                <w:tab w:val="left" w:pos="6597"/>
              </w:tabs>
              <w:spacing w:before="93" w:beforeLines="30" w:after="93" w:afterLines="30"/>
              <w:ind w:firstLine="420" w:firstLineChars="200"/>
            </w:pPr>
            <w:r>
              <w:rPr>
                <w:rFonts w:hint="eastAsia"/>
              </w:rPr>
              <w:t>参加人：全体员工</w:t>
            </w:r>
          </w:p>
          <w:p>
            <w:pPr>
              <w:tabs>
                <w:tab w:val="left" w:pos="6597"/>
              </w:tabs>
              <w:spacing w:before="93" w:beforeLines="30" w:after="93" w:afterLines="30"/>
              <w:ind w:firstLine="420" w:firstLineChars="200"/>
            </w:pPr>
            <w:r>
              <w:rPr>
                <w:rFonts w:hint="eastAsia"/>
              </w:rPr>
              <w:t>演练的效果</w:t>
            </w:r>
          </w:p>
          <w:p>
            <w:pPr>
              <w:tabs>
                <w:tab w:val="left" w:pos="6597"/>
              </w:tabs>
              <w:spacing w:before="93" w:beforeLines="30" w:after="93" w:afterLines="30"/>
              <w:ind w:firstLine="420" w:firstLineChars="200"/>
            </w:pPr>
            <w:r>
              <w:rPr>
                <w:rFonts w:hint="eastAsia"/>
              </w:rPr>
              <w:t>1、组织指挥有序，项目岗位配合较好，达到了预定目标，演练的效果较好。</w:t>
            </w:r>
          </w:p>
          <w:p>
            <w:pPr>
              <w:tabs>
                <w:tab w:val="left" w:pos="6597"/>
              </w:tabs>
              <w:spacing w:before="93" w:beforeLines="30" w:after="93" w:afterLines="30"/>
              <w:ind w:firstLine="420" w:firstLineChars="200"/>
            </w:pPr>
            <w:r>
              <w:rPr>
                <w:rFonts w:hint="eastAsia"/>
              </w:rPr>
              <w:t>2、人员的速度较快，及时按照预定方案对事故处理人员进行保护。</w:t>
            </w:r>
          </w:p>
          <w:p>
            <w:pPr>
              <w:tabs>
                <w:tab w:val="left" w:pos="6597"/>
              </w:tabs>
              <w:spacing w:before="93" w:beforeLines="30" w:after="93" w:afterLines="30"/>
              <w:ind w:firstLine="420" w:firstLineChars="200"/>
            </w:pPr>
            <w:r>
              <w:rPr>
                <w:rFonts w:hint="eastAsia"/>
              </w:rPr>
              <w:t>3、各参训人员着装整齐，装备佩戴完整，精神饱满。</w:t>
            </w:r>
          </w:p>
          <w:p>
            <w:pPr>
              <w:tabs>
                <w:tab w:val="left" w:pos="6597"/>
              </w:tabs>
              <w:spacing w:before="93" w:beforeLines="30" w:after="93" w:afterLines="30"/>
              <w:ind w:firstLine="420" w:firstLineChars="200"/>
            </w:pPr>
            <w:r>
              <w:rPr>
                <w:rFonts w:hint="eastAsia"/>
              </w:rPr>
              <w:t>4、处理事故得当，速度较快，分工明确，能各负其责</w:t>
            </w:r>
          </w:p>
          <w:p>
            <w:pPr>
              <w:tabs>
                <w:tab w:val="left" w:pos="6597"/>
              </w:tabs>
              <w:spacing w:before="93" w:beforeLines="30" w:after="93" w:afterLines="30"/>
              <w:ind w:firstLine="420" w:firstLineChars="200"/>
            </w:pPr>
            <w:r>
              <w:rPr>
                <w:rFonts w:hint="eastAsia"/>
              </w:rPr>
              <w:t>演练达到了目的。有效。</w:t>
            </w:r>
          </w:p>
          <w:p>
            <w:pPr>
              <w:tabs>
                <w:tab w:val="left" w:pos="6597"/>
              </w:tabs>
              <w:spacing w:before="93" w:beforeLines="30" w:after="93" w:afterLines="30"/>
              <w:ind w:firstLine="420" w:firstLineChars="200"/>
            </w:pPr>
            <w:r>
              <w:rPr>
                <w:rFonts w:hint="eastAsia"/>
              </w:rPr>
              <w:t>再查2020.12.24日触电应急演练记录，情况基本同上。</w:t>
            </w:r>
          </w:p>
          <w:p>
            <w:pPr>
              <w:spacing w:before="93" w:beforeLines="30" w:after="93" w:afterLines="30"/>
              <w:ind w:firstLine="420" w:firstLineChars="200"/>
              <w:jc w:val="left"/>
              <w:rPr>
                <w:rFonts w:hint="eastAsia"/>
              </w:rPr>
            </w:pPr>
            <w:r>
              <w:rPr>
                <w:rFonts w:hint="eastAsia"/>
              </w:rPr>
              <w:t>自体系运行以来尚未发生紧急情况。</w:t>
            </w:r>
          </w:p>
          <w:p>
            <w:pPr>
              <w:pStyle w:val="7"/>
              <w:jc w:val="left"/>
            </w:pPr>
            <w:r>
              <w:rPr>
                <w:rFonts w:hint="eastAsia" w:ascii="宋体" w:hAnsi="宋体" w:eastAsia="宋体" w:cs="宋体"/>
                <w:color w:val="0000FF"/>
                <w:kern w:val="2"/>
                <w:sz w:val="21"/>
                <w:szCs w:val="21"/>
                <w:lang w:val="en-US" w:eastAsia="zh-CN" w:bidi="ar-SA"/>
              </w:rPr>
              <w:t>见张磊补充现场审核记录。</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752" w:type="dxa"/>
            <w:vAlign w:val="center"/>
          </w:tcPr>
          <w:p>
            <w:pPr>
              <w:rPr>
                <w:rFonts w:ascii="宋体" w:hAnsi="宋体" w:cs="宋体"/>
                <w:szCs w:val="21"/>
              </w:rPr>
            </w:pPr>
            <w:r>
              <w:rPr>
                <w:rFonts w:hint="eastAsia" w:ascii="宋体" w:hAnsi="宋体" w:cs="宋体"/>
                <w:szCs w:val="21"/>
              </w:rPr>
              <w:t>生产和服务提供的控制</w:t>
            </w:r>
          </w:p>
        </w:tc>
        <w:tc>
          <w:tcPr>
            <w:tcW w:w="1215" w:type="dxa"/>
            <w:vAlign w:val="center"/>
          </w:tcPr>
          <w:p>
            <w:pPr>
              <w:rPr>
                <w:rFonts w:ascii="宋体" w:hAnsi="宋体" w:cs="宋体"/>
                <w:szCs w:val="21"/>
              </w:rPr>
            </w:pPr>
            <w:r>
              <w:rPr>
                <w:rFonts w:hint="eastAsia" w:ascii="宋体" w:hAnsi="宋体" w:cs="宋体"/>
                <w:szCs w:val="21"/>
              </w:rPr>
              <w:t>Q：8.5.1</w:t>
            </w:r>
          </w:p>
        </w:tc>
        <w:tc>
          <w:tcPr>
            <w:tcW w:w="10100" w:type="dxa"/>
            <w:vAlign w:val="center"/>
          </w:tcPr>
          <w:p>
            <w:pPr>
              <w:spacing w:before="93" w:beforeLines="30" w:after="93" w:afterLines="30"/>
              <w:ind w:firstLine="420" w:firstLineChars="200"/>
            </w:pPr>
            <w:r>
              <w:rPr>
                <w:rFonts w:hint="eastAsia"/>
              </w:rPr>
              <w:t>组织在手册中规定了生产服务的具体控制要求，符合标准要求。</w:t>
            </w:r>
          </w:p>
          <w:p>
            <w:pPr>
              <w:spacing w:before="93" w:beforeLines="30" w:after="93" w:afterLines="30"/>
              <w:ind w:firstLine="420" w:firstLineChars="200"/>
              <w:rPr>
                <w:rFonts w:hint="eastAsia"/>
              </w:rPr>
            </w:pPr>
            <w:r>
              <w:rPr>
                <w:rFonts w:hint="eastAsia"/>
                <w:lang w:val="en-US" w:eastAsia="zh-CN"/>
              </w:rPr>
              <w:t>远程审核：</w:t>
            </w:r>
            <w:r>
              <w:rPr>
                <w:rFonts w:hint="eastAsia"/>
              </w:rPr>
              <w:t>公司目前从事的是“蒸压加气混凝土砌块的生产、销售”，通常依据客户的订货计划来确定需要生产“蒸压加气混凝土砌块” 的数量、规格、型号、交货期，从而控制生产和销售的有序进行。</w:t>
            </w:r>
          </w:p>
          <w:p>
            <w:pPr>
              <w:spacing w:before="93" w:beforeLines="30" w:after="93" w:afterLines="30"/>
              <w:ind w:firstLine="420" w:firstLineChars="200"/>
              <w:rPr>
                <w:rFonts w:hint="default"/>
                <w:lang w:val="en-US" w:eastAsia="zh-CN"/>
              </w:rPr>
            </w:pPr>
            <w:r>
              <w:rPr>
                <w:rFonts w:hint="eastAsia"/>
                <w:lang w:val="en-US" w:eastAsia="zh-CN"/>
              </w:rPr>
              <w:t>补充现场审核：公司目前从事的是“蒸压加气混凝土砌块的生产”，通常依据客户的订货计划来确定需要生产“蒸压加气混凝土砌块” 的数量、规格、型号、交货期，从而控制生产和销售的有序进行。</w:t>
            </w:r>
          </w:p>
          <w:p>
            <w:pPr>
              <w:spacing w:before="93" w:beforeLines="30" w:after="93" w:afterLines="30"/>
              <w:ind w:firstLine="420" w:firstLineChars="200"/>
            </w:pPr>
            <w:r>
              <w:rPr>
                <w:rFonts w:hint="eastAsia"/>
              </w:rPr>
              <w:t>混凝土砌块生产工艺流程：</w:t>
            </w:r>
          </w:p>
          <w:p>
            <w:pPr>
              <w:spacing w:before="93" w:beforeLines="30" w:after="93" w:afterLines="30"/>
              <w:ind w:firstLine="420" w:firstLineChars="200"/>
              <w:jc w:val="left"/>
              <w:rPr>
                <w:rFonts w:hint="eastAsia"/>
                <w:color w:val="FF0000"/>
                <w:highlight w:val="none"/>
              </w:rPr>
            </w:pPr>
            <w:r>
              <w:rPr>
                <w:rFonts w:hint="eastAsia"/>
                <w:color w:val="FF0000"/>
                <w:highlight w:val="none"/>
                <w:lang w:val="en-US" w:eastAsia="zh-CN"/>
              </w:rPr>
              <w:t>远程审核：</w:t>
            </w:r>
            <w:r>
              <w:rPr>
                <w:rFonts w:hint="eastAsia"/>
                <w:color w:val="FF0000"/>
                <w:highlight w:val="none"/>
              </w:rPr>
              <w:t>原材料制备→配料→磨细→制浆→搅拌浇注→模具→成型→检验→入库→交付</w:t>
            </w:r>
          </w:p>
          <w:p>
            <w:pPr>
              <w:spacing w:before="93" w:beforeLines="30" w:after="93" w:afterLines="30"/>
              <w:ind w:firstLine="420" w:firstLineChars="200"/>
              <w:jc w:val="left"/>
              <w:rPr>
                <w:rFonts w:hint="eastAsia"/>
                <w:color w:val="1739E7"/>
                <w:highlight w:val="none"/>
              </w:rPr>
            </w:pPr>
            <w:r>
              <w:rPr>
                <w:rFonts w:hint="eastAsia"/>
                <w:color w:val="1739E7"/>
                <w:highlight w:val="none"/>
                <w:lang w:val="en-US" w:eastAsia="zh-CN"/>
              </w:rPr>
              <w:t>补充现场审核：</w:t>
            </w:r>
            <w:r>
              <w:rPr>
                <w:rFonts w:hint="eastAsia"/>
                <w:color w:val="1739E7"/>
                <w:highlight w:val="none"/>
              </w:rPr>
              <w:t>原材料细磨→制浆→</w:t>
            </w:r>
            <w:r>
              <w:rPr>
                <w:rFonts w:hint="eastAsia"/>
                <w:color w:val="1739E7"/>
                <w:highlight w:val="none"/>
                <w:lang w:val="en-US" w:eastAsia="zh-CN"/>
              </w:rPr>
              <w:t>配料</w:t>
            </w:r>
            <w:r>
              <w:rPr>
                <w:rFonts w:hint="eastAsia"/>
                <w:color w:val="1739E7"/>
                <w:highlight w:val="none"/>
              </w:rPr>
              <w:t>→搅拌浇注→</w:t>
            </w:r>
            <w:r>
              <w:rPr>
                <w:rFonts w:hint="eastAsia"/>
                <w:color w:val="1739E7"/>
                <w:highlight w:val="none"/>
                <w:lang w:val="en-US" w:eastAsia="zh-CN"/>
              </w:rPr>
              <w:t>静养</w:t>
            </w:r>
            <w:r>
              <w:rPr>
                <w:rFonts w:hint="eastAsia"/>
                <w:color w:val="1739E7"/>
                <w:highlight w:val="none"/>
              </w:rPr>
              <w:t>→</w:t>
            </w:r>
            <w:r>
              <w:rPr>
                <w:rFonts w:hint="eastAsia"/>
                <w:color w:val="1739E7"/>
                <w:highlight w:val="none"/>
                <w:lang w:val="en-US" w:eastAsia="zh-CN"/>
              </w:rPr>
              <w:t>切割</w:t>
            </w:r>
            <w:r>
              <w:rPr>
                <w:rFonts w:hint="eastAsia"/>
                <w:color w:val="1739E7"/>
                <w:highlight w:val="none"/>
              </w:rPr>
              <w:t>→</w:t>
            </w:r>
            <w:r>
              <w:rPr>
                <w:rFonts w:hint="eastAsia"/>
                <w:color w:val="1739E7"/>
                <w:highlight w:val="none"/>
                <w:lang w:val="en-US" w:eastAsia="zh-CN"/>
              </w:rPr>
              <w:t>蒸养</w:t>
            </w:r>
            <w:r>
              <w:rPr>
                <w:rFonts w:hint="eastAsia"/>
                <w:color w:val="1739E7"/>
                <w:highlight w:val="none"/>
              </w:rPr>
              <w:t>→检验→入库→交付</w:t>
            </w:r>
          </w:p>
          <w:p>
            <w:pPr>
              <w:pStyle w:val="2"/>
            </w:pPr>
          </w:p>
          <w:p>
            <w:pPr>
              <w:spacing w:before="93" w:beforeLines="30" w:after="93" w:afterLines="30"/>
              <w:ind w:firstLine="420" w:firstLineChars="200"/>
            </w:pPr>
            <w:r>
              <w:rPr>
                <w:rFonts w:hint="eastAsia"/>
              </w:rPr>
              <w:t>a) 组织通过客户订单要求、产品型号、产品标准描述产品特性，生产车间通过下达的生产计划获得表述产品特性的信息。</w:t>
            </w:r>
          </w:p>
          <w:p>
            <w:pPr>
              <w:spacing w:before="93" w:beforeLines="30" w:after="93" w:afterLines="30"/>
              <w:ind w:firstLine="420" w:firstLineChars="200"/>
            </w:pPr>
            <w:r>
              <w:rPr>
                <w:rFonts w:hint="eastAsia"/>
              </w:rPr>
              <w:t>b) 组织编制了产品的作业指导书等文件，文件中描述了各工序的工艺内容和控制指标，作为操作人员的作业指南。</w:t>
            </w:r>
          </w:p>
          <w:p>
            <w:pPr>
              <w:spacing w:before="93" w:beforeLines="30" w:after="93" w:afterLines="30"/>
              <w:ind w:firstLine="420" w:firstLineChars="200"/>
            </w:pPr>
            <w:r>
              <w:rPr>
                <w:rFonts w:hint="eastAsia"/>
              </w:rPr>
              <w:t>c) 组织为生产配备了适宜的生产设备：球磨机、蒸压机、搅拌机、浇注搅拌机、浆泵等，远程观察所有生产设备工作正常。</w:t>
            </w:r>
          </w:p>
          <w:p>
            <w:pPr>
              <w:spacing w:before="93" w:beforeLines="30" w:after="93" w:afterLines="30"/>
              <w:ind w:firstLine="420" w:firstLineChars="200"/>
            </w:pPr>
            <w:r>
              <w:rPr>
                <w:rFonts w:hint="eastAsia"/>
              </w:rPr>
              <w:t>d) 组织为各工序配备了钢直尺、钢卷尺、等监视测量设备。</w:t>
            </w:r>
          </w:p>
          <w:p>
            <w:pPr>
              <w:spacing w:before="93" w:beforeLines="30" w:after="93" w:afterLines="30"/>
              <w:ind w:firstLine="420" w:firstLineChars="200"/>
            </w:pPr>
            <w:r>
              <w:rPr>
                <w:rFonts w:hint="eastAsia"/>
              </w:rPr>
              <w:t>e) 组织对生产过程和产品实施了监视和测量，并作了相应记录。</w:t>
            </w:r>
          </w:p>
          <w:p>
            <w:pPr>
              <w:spacing w:before="93" w:beforeLines="30" w:after="93" w:afterLines="30"/>
              <w:ind w:firstLine="420" w:firstLineChars="200"/>
            </w:pPr>
            <w:r>
              <w:rPr>
                <w:rFonts w:hint="eastAsia"/>
              </w:rPr>
              <w:t>f) 质检部负责对产品的放行，销售部负责产品交付和交付后活动的实施。需要售后服务时由销售部负责联系售后服务工作。</w:t>
            </w:r>
          </w:p>
          <w:p>
            <w:pPr>
              <w:spacing w:before="93" w:beforeLines="30" w:after="93" w:afterLines="30"/>
              <w:ind w:firstLine="420" w:firstLineChars="200"/>
              <w:rPr>
                <w:rFonts w:hint="eastAsia"/>
                <w:color w:val="FF0000"/>
              </w:rPr>
            </w:pPr>
            <w:r>
              <w:rPr>
                <w:rFonts w:hint="eastAsia"/>
                <w:color w:val="FF0000"/>
                <w:lang w:val="en-US" w:eastAsia="zh-CN"/>
              </w:rPr>
              <w:t>远程审核：</w:t>
            </w:r>
            <w:r>
              <w:rPr>
                <w:rFonts w:hint="eastAsia"/>
                <w:color w:val="FF0000"/>
              </w:rPr>
              <w:t>g）为生产过程配备了必要的人员，无特种设备操作人员。</w:t>
            </w:r>
          </w:p>
          <w:p>
            <w:pPr>
              <w:pStyle w:val="7"/>
              <w:spacing w:line="360" w:lineRule="auto"/>
              <w:ind w:firstLine="420" w:firstLineChars="200"/>
              <w:jc w:val="left"/>
              <w:rPr>
                <w:rFonts w:hint="default"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补充现场审核：g）为生产过程配备了必要的人员，涉及特种设备持证上岗人员为：锅炉工、叉车工，见综合部补充现场审核记录Q7.2条款。</w:t>
            </w:r>
          </w:p>
          <w:p>
            <w:pPr>
              <w:spacing w:before="93" w:beforeLines="30" w:after="93" w:afterLines="30"/>
              <w:ind w:firstLine="420" w:firstLineChars="200"/>
            </w:pPr>
            <w:r>
              <w:rPr>
                <w:rFonts w:hint="eastAsia"/>
              </w:rPr>
              <w:t>h）浇注和切割设备使用专用模具和控制程序可以起到防错作用。</w:t>
            </w:r>
          </w:p>
          <w:p>
            <w:pPr>
              <w:spacing w:before="93" w:beforeLines="30" w:after="93" w:afterLines="30"/>
              <w:ind w:firstLine="420" w:firstLineChars="200"/>
              <w:rPr>
                <w:rFonts w:hint="eastAsia"/>
              </w:rPr>
            </w:pPr>
            <w:r>
              <w:rPr>
                <w:rFonts w:hint="eastAsia"/>
              </w:rPr>
              <w:t>I）生产部负责关键、特殊过程的确认和控制，经公司识别，本公司的特殊过程为：搅拌过程，查到特殊过程确认记录，2020.7.10日吴义林、樊卿、毛金兰和李丰涛对工艺、设备、工艺参数、人员进行了确认，符合要求。</w:t>
            </w:r>
          </w:p>
          <w:p>
            <w:pPr>
              <w:pStyle w:val="2"/>
              <w:ind w:left="0" w:leftChars="0" w:firstLine="420" w:firstLineChars="200"/>
              <w:rPr>
                <w:rFonts w:hint="default"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补充现场审核：关键过程：配料、高压蒸养。</w:t>
            </w:r>
          </w:p>
          <w:p>
            <w:pPr>
              <w:spacing w:before="93" w:beforeLines="30" w:after="93" w:afterLines="30"/>
              <w:ind w:firstLine="420" w:firstLineChars="200"/>
              <w:rPr>
                <w:rFonts w:hint="eastAsia"/>
              </w:rPr>
            </w:pPr>
            <w:r>
              <w:rPr>
                <w:rFonts w:hint="eastAsia"/>
              </w:rPr>
              <w:t>远程观察：</w:t>
            </w:r>
          </w:p>
          <w:p>
            <w:pPr>
              <w:spacing w:before="93" w:beforeLines="30" w:after="93" w:afterLines="30"/>
            </w:pPr>
            <w:r>
              <w:rPr>
                <w:rFonts w:hint="eastAsia"/>
              </w:rPr>
              <w:t>→制浆控制过程：现场操作工开启搅拌机，打开注水阀门，启动废浆泵，使水料位达到搅拌罐的2/3，打开粉煤灰下料阀门，时刻观察粉煤灰下料情况，等粉煤灰与水达到一定量后须验证浆液稠度（稠度应达到20—25公分之间），达到规定稠度时，开启渣浆泵打入成品浆储料罐（应保持1/2料位）。根据料浆稳流罐的料位情况，输送粉煤灰浆液时，开启渣浆泵，将搅拌均匀的粉煤灰浆打入料浆稳流罐。远程观察符合要求。</w:t>
            </w:r>
          </w:p>
          <w:p>
            <w:pPr>
              <w:pStyle w:val="2"/>
              <w:ind w:left="0" w:leftChars="0" w:firstLine="630" w:firstLineChars="300"/>
              <w:rPr>
                <w:rFonts w:hint="default" w:eastAsia="宋体"/>
                <w:color w:val="1739E7"/>
                <w:lang w:val="en-US" w:eastAsia="zh-CN"/>
              </w:rPr>
            </w:pPr>
            <w:r>
              <w:rPr>
                <w:rFonts w:hint="eastAsia" w:ascii="宋体" w:hAnsi="宋体" w:eastAsia="宋体" w:cs="宋体"/>
                <w:color w:val="0000FF"/>
                <w:kern w:val="2"/>
                <w:sz w:val="21"/>
                <w:szCs w:val="21"/>
                <w:lang w:val="en-US" w:eastAsia="zh-CN" w:bidi="ar-SA"/>
              </w:rPr>
              <w:t>补充现场审核</w:t>
            </w:r>
            <w:r>
              <w:rPr>
                <w:rFonts w:hint="eastAsia" w:cs="宋体"/>
                <w:color w:val="0000FF"/>
                <w:kern w:val="2"/>
                <w:sz w:val="21"/>
                <w:szCs w:val="21"/>
                <w:lang w:val="en-US" w:eastAsia="zh-CN" w:bidi="ar-SA"/>
              </w:rPr>
              <w:t>：</w:t>
            </w:r>
            <w:r>
              <w:rPr>
                <w:rFonts w:hint="eastAsia"/>
                <w:color w:val="1739E7"/>
                <w:highlight w:val="none"/>
              </w:rPr>
              <w:t>制浆</w:t>
            </w:r>
            <w:r>
              <w:rPr>
                <w:rFonts w:hint="eastAsia"/>
                <w:color w:val="1739E7"/>
                <w:highlight w:val="none"/>
                <w:lang w:val="en-US" w:eastAsia="zh-CN"/>
              </w:rPr>
              <w:t>过程：水：料为1:0.6，通过浆料扩散度来控制，提供有</w:t>
            </w:r>
            <w:r>
              <w:rPr>
                <w:rFonts w:hint="eastAsia"/>
                <w:color w:val="1739E7"/>
                <w:lang w:val="en-US" w:eastAsia="zh-CN"/>
              </w:rPr>
              <w:t>《配料岗位原始记录》。</w:t>
            </w:r>
          </w:p>
          <w:p>
            <w:pPr>
              <w:spacing w:before="93" w:beforeLines="30" w:after="93" w:afterLines="30"/>
              <w:rPr>
                <w:rFonts w:hint="eastAsia"/>
              </w:rPr>
            </w:pPr>
            <w:r>
              <w:rPr>
                <w:rFonts w:hint="eastAsia"/>
              </w:rPr>
              <w:t>→混合配料过程：现场操作工开启控制柜开关，打到自动控制，将粉煤灰浆打入料浆稳流罐中，此时注意胶结料的变化，生产完毕将料浆稳流罐、料浆计量罐清理干净，并将给料、水泥螺旋给料机开关打到停止状态。远程观察符合要求。</w:t>
            </w:r>
          </w:p>
          <w:p>
            <w:pPr>
              <w:pStyle w:val="2"/>
              <w:ind w:left="0" w:leftChars="0" w:firstLine="630" w:firstLineChars="300"/>
              <w:rPr>
                <w:rFonts w:hint="default" w:eastAsia="宋体"/>
                <w:color w:val="1739E7"/>
                <w:lang w:val="en-US" w:eastAsia="zh-CN"/>
              </w:rPr>
            </w:pPr>
            <w:r>
              <w:rPr>
                <w:rFonts w:hint="eastAsia" w:ascii="宋体" w:hAnsi="宋体" w:eastAsia="宋体" w:cs="宋体"/>
                <w:color w:val="0000FF"/>
                <w:kern w:val="2"/>
                <w:sz w:val="21"/>
                <w:szCs w:val="21"/>
                <w:lang w:val="en-US" w:eastAsia="zh-CN" w:bidi="ar-SA"/>
              </w:rPr>
              <w:t>补充现场审核</w:t>
            </w:r>
            <w:r>
              <w:rPr>
                <w:rFonts w:hint="eastAsia" w:cs="宋体"/>
                <w:color w:val="0000FF"/>
                <w:kern w:val="2"/>
                <w:sz w:val="21"/>
                <w:szCs w:val="21"/>
                <w:lang w:val="en-US" w:eastAsia="zh-CN" w:bidi="ar-SA"/>
              </w:rPr>
              <w:t>：</w:t>
            </w:r>
            <w:r>
              <w:rPr>
                <w:rFonts w:hint="eastAsia"/>
                <w:color w:val="1739E7"/>
                <w:lang w:val="en-US" w:eastAsia="zh-CN"/>
              </w:rPr>
              <w:t>配料为：石灰260kg：水泥60kg：铝粉：1.8kg，提供有《配料岗位原始记录》。</w:t>
            </w:r>
          </w:p>
          <w:p>
            <w:pPr>
              <w:jc w:val="left"/>
              <w:rPr>
                <w:rFonts w:hint="eastAsia"/>
                <w:color w:val="FF0000"/>
              </w:rPr>
            </w:pPr>
            <w:r>
              <w:rPr>
                <w:rFonts w:hint="eastAsia"/>
              </w:rPr>
              <w:t>→搅拌浇注过程：现场操作工确认下料口阀门关闭，取样口阀门关闭，加水阀门关闭，蒸汽手动阀门开启，待粉煤灰浆下完后，从取样口取出粉煤灰浆，测其粘稠度（稠度控制在200mm—250mm之间），</w:t>
            </w:r>
            <w:r>
              <w:rPr>
                <w:rFonts w:hint="eastAsia"/>
                <w:color w:val="auto"/>
              </w:rPr>
              <w:t>当温度达到40—42℃时，</w:t>
            </w:r>
            <w:r>
              <w:rPr>
                <w:rFonts w:hint="eastAsia"/>
                <w:color w:val="FF0000"/>
              </w:rPr>
              <w:t>加入准备好的铝粉，搅拌30-40秒后进行浇注</w:t>
            </w:r>
            <w:r>
              <w:rPr>
                <w:rFonts w:hint="eastAsia"/>
                <w:color w:val="FF0000"/>
                <w:lang w:eastAsia="zh-CN"/>
              </w:rPr>
              <w:t>（</w:t>
            </w:r>
            <w:r>
              <w:rPr>
                <w:rFonts w:hint="eastAsia"/>
                <w:color w:val="FF0000"/>
                <w:lang w:val="en-US" w:eastAsia="zh-CN"/>
              </w:rPr>
              <w:t>远程审核</w:t>
            </w:r>
            <w:r>
              <w:rPr>
                <w:rFonts w:hint="eastAsia"/>
                <w:color w:val="FF0000"/>
                <w:lang w:eastAsia="zh-CN"/>
              </w:rPr>
              <w:t>）</w:t>
            </w:r>
            <w:r>
              <w:rPr>
                <w:rFonts w:hint="eastAsia"/>
                <w:color w:val="FF0000"/>
              </w:rPr>
              <w:t>。远程观察符合要求。</w:t>
            </w:r>
          </w:p>
          <w:p>
            <w:pPr>
              <w:ind w:firstLine="630" w:firstLineChars="300"/>
              <w:jc w:val="left"/>
              <w:rPr>
                <w:rFonts w:hint="default" w:eastAsia="宋体"/>
                <w:i/>
                <w:iCs/>
                <w:color w:val="1739E7"/>
                <w:u w:val="single"/>
                <w:lang w:val="en-US" w:eastAsia="zh-CN"/>
              </w:rPr>
            </w:pPr>
            <w:r>
              <w:rPr>
                <w:rFonts w:hint="eastAsia"/>
                <w:color w:val="1739E7"/>
                <w:lang w:val="en-US" w:eastAsia="zh-CN"/>
              </w:rPr>
              <w:t>补充现场审核：</w:t>
            </w:r>
            <w:r>
              <w:rPr>
                <w:rFonts w:hint="eastAsia"/>
                <w:color w:val="1739E7"/>
              </w:rPr>
              <w:t>加入准备好的铝粉，搅拌</w:t>
            </w:r>
            <w:r>
              <w:rPr>
                <w:rFonts w:hint="eastAsia"/>
                <w:color w:val="1739E7"/>
                <w:lang w:val="en-US" w:eastAsia="zh-CN"/>
              </w:rPr>
              <w:t>10-20</w:t>
            </w:r>
            <w:r>
              <w:rPr>
                <w:rFonts w:hint="eastAsia"/>
                <w:color w:val="1739E7"/>
              </w:rPr>
              <w:t>秒后进行浇注。</w:t>
            </w:r>
            <w:r>
              <w:rPr>
                <w:rFonts w:hint="eastAsia"/>
                <w:color w:val="1739E7"/>
                <w:lang w:val="en-US" w:eastAsia="zh-CN"/>
              </w:rPr>
              <w:t>现场每模具监控温度，但未做记录，已与企业沟通，建议增加保留温度监控的记录。</w:t>
            </w:r>
            <w:r>
              <w:rPr>
                <w:rFonts w:hint="eastAsia"/>
                <w:i/>
                <w:iCs/>
                <w:color w:val="1739E7"/>
                <w:u w:val="single"/>
                <w:lang w:val="en-US" w:eastAsia="zh-CN"/>
              </w:rPr>
              <w:t>但对使用的数显温度计未做温度校验/比对记录，见质检部Q7.1.5的审核记录。</w:t>
            </w:r>
          </w:p>
          <w:p>
            <w:pPr>
              <w:spacing w:before="93" w:beforeLines="30" w:after="93" w:afterLines="30"/>
            </w:pPr>
            <w:r>
              <w:rPr>
                <w:rFonts w:hint="eastAsia"/>
              </w:rPr>
              <w:t>→蒸养成型过程：现场操作工将分气缸压力保持4kg以上，打开排水阀，保证半个压力以下，脱水一个半小时。然后关小排水阀，待压力到5kg时，开启釜体排水阀门做有压排水，维持10分钟，再打开釜体顶阀门，关闭下总阀门，压力升至11kg时，稳定5分钟，关闭进气总门，保压六个小时。远程观察符合要求。</w:t>
            </w:r>
          </w:p>
          <w:p>
            <w:pPr>
              <w:spacing w:before="93" w:beforeLines="30" w:after="93" w:afterLines="30"/>
              <w:ind w:firstLine="420" w:firstLineChars="200"/>
              <w:rPr>
                <w:rFonts w:hint="eastAsia"/>
              </w:rPr>
            </w:pPr>
            <w:r>
              <w:rPr>
                <w:rFonts w:hint="eastAsia"/>
              </w:rPr>
              <w:t>通过远程观察以上工序操作均符合操作文件要求。</w:t>
            </w:r>
          </w:p>
          <w:p>
            <w:pPr>
              <w:ind w:firstLine="630" w:firstLineChars="300"/>
              <w:jc w:val="left"/>
              <w:rPr>
                <w:rFonts w:hint="default" w:eastAsia="宋体"/>
                <w:color w:val="1739E7"/>
                <w:lang w:val="en-US" w:eastAsia="zh-CN"/>
              </w:rPr>
            </w:pPr>
            <w:r>
              <w:rPr>
                <w:rFonts w:hint="eastAsia"/>
                <w:color w:val="1739E7"/>
                <w:lang w:val="en-US" w:eastAsia="zh-CN"/>
              </w:rPr>
              <w:t>补充现场审核：提供有《高压蒸养记录》。</w:t>
            </w:r>
          </w:p>
          <w:p>
            <w:pPr>
              <w:pStyle w:val="2"/>
              <w:rPr>
                <w:rFonts w:hint="eastAsia"/>
                <w:lang w:eastAsia="zh-CN"/>
              </w:rPr>
            </w:pPr>
          </w:p>
          <w:p>
            <w:pPr>
              <w:pStyle w:val="4"/>
              <w:rPr>
                <w:rFonts w:hint="eastAsia" w:ascii="宋体" w:hAnsi="宋体" w:cs="宋体"/>
                <w:color w:val="0000FF"/>
                <w:sz w:val="21"/>
                <w:szCs w:val="21"/>
                <w:lang w:val="en-US" w:eastAsia="zh-CN"/>
              </w:rPr>
            </w:pPr>
          </w:p>
          <w:p>
            <w:pPr>
              <w:pStyle w:val="4"/>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经补充现场审核确认；</w:t>
            </w:r>
          </w:p>
          <w:p>
            <w:pPr>
              <w:pStyle w:val="4"/>
              <w:numPr>
                <w:ilvl w:val="0"/>
                <w:numId w:val="2"/>
              </w:numPr>
              <w:rPr>
                <w:rFonts w:hint="eastAsia" w:ascii="宋体" w:hAnsi="宋体" w:cs="宋体"/>
                <w:color w:val="0000FF"/>
                <w:sz w:val="21"/>
                <w:szCs w:val="21"/>
                <w:lang w:val="en-US" w:eastAsia="zh-CN"/>
              </w:rPr>
            </w:pPr>
            <w:r>
              <w:rPr>
                <w:rFonts w:hint="eastAsia" w:ascii="宋体" w:hAnsi="宋体" w:cs="宋体"/>
                <w:color w:val="0000FF"/>
                <w:sz w:val="21"/>
                <w:szCs w:val="21"/>
                <w:lang w:val="en-US" w:eastAsia="zh-CN"/>
              </w:rPr>
              <w:t>标示为红色字体（A）（B）两条款内容见补充现场审核记录（蓝色字内容）；</w:t>
            </w:r>
          </w:p>
          <w:p>
            <w:pPr>
              <w:pStyle w:val="4"/>
              <w:numPr>
                <w:ilvl w:val="0"/>
                <w:numId w:val="2"/>
              </w:numPr>
              <w:rPr>
                <w:sz w:val="21"/>
                <w:szCs w:val="21"/>
              </w:rPr>
            </w:pPr>
            <w:r>
              <w:rPr>
                <w:rFonts w:hint="eastAsia" w:ascii="宋体" w:hAnsi="宋体" w:cs="宋体"/>
                <w:color w:val="0000FF"/>
                <w:sz w:val="21"/>
                <w:szCs w:val="21"/>
                <w:lang w:val="en-US" w:eastAsia="zh-CN"/>
              </w:rPr>
              <w:t>压力容器、叉车、压力表的内容见蓝色审核记录；</w:t>
            </w:r>
          </w:p>
          <w:p>
            <w:pPr>
              <w:pStyle w:val="4"/>
              <w:numPr>
                <w:ilvl w:val="0"/>
                <w:numId w:val="2"/>
              </w:numPr>
              <w:rPr>
                <w:sz w:val="21"/>
                <w:szCs w:val="21"/>
              </w:rPr>
            </w:pPr>
            <w:r>
              <w:rPr>
                <w:rFonts w:hint="eastAsia" w:ascii="宋体" w:hAnsi="宋体" w:cs="宋体"/>
                <w:color w:val="0000FF"/>
                <w:sz w:val="21"/>
                <w:szCs w:val="21"/>
                <w:lang w:val="en-US" w:eastAsia="zh-CN"/>
              </w:rPr>
              <w:t>除上述（1）、（2）条款外，Q审核内容与远程审核一致。</w:t>
            </w:r>
          </w:p>
          <w:p>
            <w:pPr>
              <w:pStyle w:val="7"/>
            </w:pPr>
          </w:p>
        </w:tc>
        <w:tc>
          <w:tcPr>
            <w:tcW w:w="1585" w:type="dxa"/>
          </w:tcPr>
          <w:p>
            <w:pPr>
              <w:rPr>
                <w:rFonts w:hint="eastAsia"/>
              </w:rPr>
            </w:pPr>
            <w:r>
              <w:rPr>
                <w:rFonts w:hint="eastAsia"/>
              </w:rPr>
              <w:t>Y</w:t>
            </w: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cs="宋体"/>
                <w:szCs w:val="21"/>
              </w:rPr>
            </w:pPr>
          </w:p>
          <w:p>
            <w:pPr>
              <w:pStyle w:val="2"/>
              <w:rPr>
                <w:rFonts w:hint="eastAsia" w:ascii="宋体" w:hAnsi="宋体" w:eastAsia="宋体" w:cs="宋体"/>
                <w:szCs w:val="21"/>
                <w:lang w:val="en-US" w:eastAsia="zh-CN"/>
              </w:rPr>
            </w:pPr>
            <w:r>
              <w:rPr>
                <w:rFonts w:hint="eastAsia" w:cs="宋体"/>
                <w:color w:val="1739E7"/>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752" w:type="dxa"/>
            <w:vAlign w:val="center"/>
          </w:tcPr>
          <w:p>
            <w:pPr>
              <w:rPr>
                <w:rFonts w:ascii="宋体" w:hAnsi="宋体" w:cs="宋体"/>
                <w:szCs w:val="21"/>
              </w:rPr>
            </w:pPr>
            <w:r>
              <w:rPr>
                <w:rFonts w:hint="eastAsia" w:ascii="宋体" w:hAnsi="宋体" w:cs="宋体"/>
                <w:szCs w:val="21"/>
              </w:rPr>
              <w:t>标识和可追溯性/防护</w:t>
            </w:r>
          </w:p>
        </w:tc>
        <w:tc>
          <w:tcPr>
            <w:tcW w:w="1215" w:type="dxa"/>
            <w:vAlign w:val="center"/>
          </w:tcPr>
          <w:p>
            <w:pPr>
              <w:rPr>
                <w:rFonts w:ascii="宋体" w:hAnsi="宋体" w:cs="宋体"/>
                <w:szCs w:val="21"/>
              </w:rPr>
            </w:pPr>
            <w:r>
              <w:rPr>
                <w:rFonts w:hint="eastAsia" w:ascii="宋体" w:hAnsi="宋体" w:cs="宋体"/>
                <w:szCs w:val="21"/>
              </w:rPr>
              <w:t>Q：8.5.2</w:t>
            </w:r>
          </w:p>
          <w:p>
            <w:pPr>
              <w:ind w:firstLine="420" w:firstLineChars="200"/>
              <w:rPr>
                <w:rFonts w:ascii="宋体" w:hAnsi="宋体" w:cs="宋体"/>
                <w:szCs w:val="21"/>
              </w:rPr>
            </w:pPr>
            <w:r>
              <w:rPr>
                <w:rFonts w:hint="eastAsia" w:ascii="宋体" w:hAnsi="宋体" w:cs="宋体"/>
                <w:szCs w:val="21"/>
              </w:rPr>
              <w:t>8.5.4</w:t>
            </w:r>
          </w:p>
        </w:tc>
        <w:tc>
          <w:tcPr>
            <w:tcW w:w="10100" w:type="dxa"/>
            <w:vAlign w:val="center"/>
          </w:tcPr>
          <w:p>
            <w:pPr>
              <w:spacing w:before="93" w:beforeLines="30" w:after="93" w:afterLines="30"/>
              <w:ind w:firstLine="420" w:firstLineChars="200"/>
            </w:pPr>
            <w:r>
              <w:rPr>
                <w:rFonts w:hint="eastAsia"/>
              </w:rPr>
              <w:t>产品标识主要通过划分区域、流程卡、巡检记录等进行标识，状态标识分为合格、不合格、待检等，生产加工过程中和产品监视和测量过程中有采取适当的方式对产品进行标识（含检验状态），标识有确保唯一性，当有追溯性要求时，可确保在必要时进行追溯。</w:t>
            </w:r>
          </w:p>
          <w:p>
            <w:pPr>
              <w:spacing w:before="93" w:beforeLines="30" w:after="93" w:afterLines="30"/>
              <w:ind w:firstLine="420" w:firstLineChars="200"/>
            </w:pPr>
            <w:r>
              <w:rPr>
                <w:rFonts w:hint="eastAsia"/>
              </w:rPr>
              <w:t>原材料依据不同的类型和防护要求进行防护，产品运输时防止跌落损坏等。</w:t>
            </w:r>
          </w:p>
          <w:p>
            <w:pPr>
              <w:spacing w:before="93" w:beforeLines="30" w:after="93" w:afterLines="30"/>
              <w:ind w:firstLine="420" w:firstLineChars="200"/>
            </w:pPr>
            <w:r>
              <w:rPr>
                <w:rFonts w:hint="eastAsia"/>
              </w:rPr>
              <w:t>生产车间现场加工的半成品、成品分别按区域放置。原材料分类分区放置在指定仓库，原料库和成品库的进出库手续齐全，有发料部门和领料部门的接收单据，远程检查仓库账务卡一致，在库产品按规定摆放并码放整齐，产品标识方法得当、未发现不同类型和状态产品发生混淆现象。标识和可追溯性基本符合标准要求。</w:t>
            </w:r>
          </w:p>
          <w:p>
            <w:pPr>
              <w:spacing w:before="93" w:beforeLines="30" w:after="93" w:afterLines="30"/>
              <w:ind w:firstLine="420" w:firstLineChars="200"/>
            </w:pPr>
            <w:r>
              <w:rPr>
                <w:rFonts w:hint="eastAsia"/>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pPr>
              <w:spacing w:before="93" w:beforeLines="30" w:after="93" w:afterLines="30"/>
              <w:ind w:firstLine="420" w:firstLineChars="200"/>
            </w:pPr>
            <w:r>
              <w:rPr>
                <w:rFonts w:hint="eastAsia"/>
              </w:rPr>
              <w:t>生产质量通过生产人员按排班和岗位、生产日期班次等生产记录实现追溯。</w:t>
            </w:r>
          </w:p>
          <w:p>
            <w:pPr>
              <w:spacing w:before="93" w:beforeLines="30" w:after="93" w:afterLines="30"/>
              <w:ind w:firstLine="420" w:firstLineChars="200"/>
            </w:pPr>
            <w:r>
              <w:rPr>
                <w:rFonts w:hint="eastAsia"/>
              </w:rPr>
              <w:t>产品主要防止磕碰，采取了放置时保持距离和上下层有垫木等。目前无因防护损坏的现象。</w:t>
            </w:r>
          </w:p>
          <w:p>
            <w:pPr>
              <w:spacing w:before="93" w:beforeLines="30" w:after="93" w:afterLines="30"/>
              <w:ind w:firstLine="420" w:firstLineChars="200"/>
              <w:rPr>
                <w:rFonts w:hint="eastAsia"/>
              </w:rPr>
            </w:pPr>
            <w:r>
              <w:rPr>
                <w:rFonts w:hint="eastAsia"/>
              </w:rPr>
              <w:t>产品防护措施得当，贮存环境适宜，产品防护基本符合要求。</w:t>
            </w:r>
          </w:p>
          <w:p>
            <w:pPr>
              <w:pStyle w:val="2"/>
              <w:ind w:left="0" w:leftChars="0" w:firstLine="0" w:firstLineChars="0"/>
              <w:rPr>
                <w:rFonts w:hint="eastAsia"/>
              </w:rPr>
            </w:pPr>
            <w:r>
              <w:rPr>
                <w:rFonts w:hint="eastAsia" w:ascii="宋体" w:hAnsi="宋体" w:cs="宋体"/>
                <w:color w:val="0000FF"/>
                <w:sz w:val="21"/>
                <w:szCs w:val="21"/>
                <w:lang w:val="en-US" w:eastAsia="zh-CN"/>
              </w:rPr>
              <w:t>经补充现场审核确认：Q审核内容与远程审核一致。</w:t>
            </w:r>
          </w:p>
          <w:p>
            <w:pPr>
              <w:pStyle w:val="7"/>
            </w:pP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trPr>
        <w:tc>
          <w:tcPr>
            <w:tcW w:w="1752" w:type="dxa"/>
            <w:vAlign w:val="center"/>
          </w:tcPr>
          <w:p>
            <w:pPr>
              <w:rPr>
                <w:rFonts w:ascii="宋体" w:hAnsi="宋体" w:cs="宋体"/>
                <w:szCs w:val="21"/>
              </w:rPr>
            </w:pPr>
            <w:r>
              <w:rPr>
                <w:rFonts w:hint="eastAsia" w:ascii="宋体" w:hAnsi="宋体" w:cs="宋体"/>
                <w:szCs w:val="21"/>
              </w:rPr>
              <w:t>更改控制</w:t>
            </w:r>
          </w:p>
        </w:tc>
        <w:tc>
          <w:tcPr>
            <w:tcW w:w="1215" w:type="dxa"/>
            <w:vAlign w:val="center"/>
          </w:tcPr>
          <w:p>
            <w:pPr>
              <w:rPr>
                <w:rFonts w:ascii="宋体" w:hAnsi="宋体" w:cs="宋体"/>
                <w:szCs w:val="21"/>
              </w:rPr>
            </w:pPr>
            <w:r>
              <w:rPr>
                <w:rFonts w:hint="eastAsia" w:ascii="宋体" w:hAnsi="宋体" w:cs="宋体"/>
                <w:szCs w:val="21"/>
              </w:rPr>
              <w:t>Q：8.5.6</w:t>
            </w:r>
          </w:p>
        </w:tc>
        <w:tc>
          <w:tcPr>
            <w:tcW w:w="10100" w:type="dxa"/>
            <w:vAlign w:val="center"/>
          </w:tcPr>
          <w:p>
            <w:pPr>
              <w:spacing w:before="93" w:beforeLines="30" w:after="93" w:afterLines="30"/>
              <w:ind w:firstLine="420" w:firstLineChars="200"/>
            </w:pPr>
            <w:r>
              <w:rPr>
                <w:rFonts w:hint="eastAsia"/>
              </w:rPr>
              <w:t>生产部负责人介绍，当内外外部环境，如客户要求、产品技术和质量要求、生产工艺、适用的法律法规和产品技术标准等有更改时，相关部门提出更改计划并进行更改，更改由原制定人负责具体实施。</w:t>
            </w:r>
          </w:p>
          <w:p>
            <w:pPr>
              <w:spacing w:before="93" w:beforeLines="30" w:after="93" w:afterLines="30"/>
              <w:ind w:firstLine="420" w:firstLineChars="200"/>
              <w:rPr>
                <w:rFonts w:hint="eastAsia"/>
              </w:rPr>
            </w:pPr>
            <w:r>
              <w:rPr>
                <w:rFonts w:hint="eastAsia"/>
              </w:rPr>
              <w:t>自体系建立以来，未发生生产和服务控制有关信息的变更。</w:t>
            </w:r>
          </w:p>
          <w:p>
            <w:pPr>
              <w:pStyle w:val="2"/>
              <w:ind w:left="0" w:leftChars="0" w:firstLine="0" w:firstLineChars="0"/>
            </w:pPr>
            <w:r>
              <w:rPr>
                <w:rFonts w:hint="eastAsia" w:ascii="宋体" w:hAnsi="宋体" w:cs="宋体"/>
                <w:color w:val="0000FF"/>
                <w:sz w:val="21"/>
                <w:szCs w:val="21"/>
                <w:lang w:val="en-US" w:eastAsia="zh-CN"/>
              </w:rPr>
              <w:t>经补充现场审核确认：Q审核内容与远程审核一致。</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1752" w:type="dxa"/>
            <w:vAlign w:val="center"/>
          </w:tcPr>
          <w:p>
            <w:pPr>
              <w:rPr>
                <w:rFonts w:ascii="宋体" w:hAnsi="宋体" w:cs="宋体"/>
                <w:szCs w:val="21"/>
              </w:rPr>
            </w:pPr>
            <w:r>
              <w:rPr>
                <w:rFonts w:hint="eastAsia" w:ascii="宋体" w:hAnsi="宋体" w:cs="宋体"/>
                <w:szCs w:val="21"/>
              </w:rPr>
              <w:t>产品和服务的放行</w:t>
            </w:r>
          </w:p>
        </w:tc>
        <w:tc>
          <w:tcPr>
            <w:tcW w:w="1215" w:type="dxa"/>
            <w:vAlign w:val="center"/>
          </w:tcPr>
          <w:p>
            <w:pPr>
              <w:rPr>
                <w:rFonts w:ascii="宋体" w:hAnsi="宋体" w:cs="宋体"/>
                <w:szCs w:val="21"/>
              </w:rPr>
            </w:pPr>
            <w:r>
              <w:rPr>
                <w:rFonts w:hint="eastAsia" w:ascii="宋体" w:hAnsi="宋体" w:cs="宋体"/>
                <w:szCs w:val="21"/>
              </w:rPr>
              <w:t>Q：8.6</w:t>
            </w:r>
          </w:p>
          <w:p>
            <w:pPr>
              <w:rPr>
                <w:rFonts w:ascii="宋体" w:hAnsi="宋体" w:cs="宋体"/>
                <w:szCs w:val="21"/>
              </w:rPr>
            </w:pPr>
          </w:p>
        </w:tc>
        <w:tc>
          <w:tcPr>
            <w:tcW w:w="10100" w:type="dxa"/>
            <w:vAlign w:val="center"/>
          </w:tcPr>
          <w:p>
            <w:pPr>
              <w:ind w:firstLine="420" w:firstLineChars="200"/>
            </w:pPr>
            <w:r>
              <w:rPr>
                <w:rFonts w:hint="eastAsia"/>
              </w:rPr>
              <w:t>公司规定并对原材料、过程产品、成品实施检验。</w:t>
            </w:r>
          </w:p>
          <w:p>
            <w:pPr>
              <w:widowControl/>
              <w:tabs>
                <w:tab w:val="left" w:pos="252"/>
                <w:tab w:val="left" w:pos="432"/>
              </w:tabs>
              <w:ind w:left="420" w:leftChars="200"/>
            </w:pPr>
            <w:r>
              <w:rPr>
                <w:rFonts w:hint="eastAsia"/>
              </w:rPr>
              <w:t>（一）进货检验：</w:t>
            </w:r>
          </w:p>
          <w:p>
            <w:pPr>
              <w:ind w:firstLine="420" w:firstLineChars="200"/>
            </w:pPr>
            <w:r>
              <w:rPr>
                <w:rFonts w:hint="eastAsia"/>
              </w:rPr>
              <w:t>检验依据：公司制定的进货检验规程。入库前，通常采取验证供方产品合格证和数量的方式，合格后方可入库。</w:t>
            </w:r>
          </w:p>
          <w:p>
            <w:pPr>
              <w:ind w:firstLine="420" w:firstLineChars="200"/>
            </w:pPr>
            <w:r>
              <w:rPr>
                <w:rFonts w:hint="eastAsia"/>
              </w:rPr>
              <w:t>查到2020.10.13日生石灰入库单，重量125吨，于得水验收合格准许入库。</w:t>
            </w:r>
          </w:p>
          <w:p>
            <w:pPr>
              <w:tabs>
                <w:tab w:val="left" w:pos="3036"/>
                <w:tab w:val="left" w:pos="4000"/>
                <w:tab w:val="left" w:pos="6640"/>
                <w:tab w:val="left" w:pos="7760"/>
              </w:tabs>
              <w:autoSpaceDE w:val="0"/>
              <w:autoSpaceDN w:val="0"/>
              <w:adjustRightInd w:val="0"/>
              <w:ind w:firstLine="420" w:firstLineChars="200"/>
            </w:pPr>
            <w:r>
              <w:rPr>
                <w:rFonts w:hint="eastAsia"/>
              </w:rPr>
              <w:t>现场提供了供方水泥、煤粉等产品质量检验报告/证明书。</w:t>
            </w:r>
          </w:p>
          <w:p>
            <w:pPr>
              <w:tabs>
                <w:tab w:val="left" w:pos="3036"/>
                <w:tab w:val="left" w:pos="4000"/>
                <w:tab w:val="left" w:pos="6640"/>
                <w:tab w:val="left" w:pos="7760"/>
              </w:tabs>
              <w:autoSpaceDE w:val="0"/>
              <w:autoSpaceDN w:val="0"/>
              <w:adjustRightInd w:val="0"/>
            </w:pPr>
          </w:p>
          <w:p>
            <w:pPr>
              <w:tabs>
                <w:tab w:val="left" w:pos="3036"/>
                <w:tab w:val="left" w:pos="4000"/>
                <w:tab w:val="left" w:pos="6640"/>
                <w:tab w:val="left" w:pos="7760"/>
              </w:tabs>
              <w:autoSpaceDE w:val="0"/>
              <w:autoSpaceDN w:val="0"/>
              <w:adjustRightInd w:val="0"/>
              <w:ind w:left="107" w:leftChars="51" w:firstLine="420" w:firstLineChars="200"/>
            </w:pPr>
            <w:r>
              <w:rPr>
                <w:rFonts w:hint="eastAsia"/>
              </w:rPr>
              <w:drawing>
                <wp:inline distT="0" distB="0" distL="114300" distR="114300">
                  <wp:extent cx="5584825" cy="2283460"/>
                  <wp:effectExtent l="0" t="0" r="15875" b="2540"/>
                  <wp:docPr id="6" name="图片 6" descr="水泥检验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泥检验报告"/>
                          <pic:cNvPicPr>
                            <a:picLocks noChangeAspect="1"/>
                          </pic:cNvPicPr>
                        </pic:nvPicPr>
                        <pic:blipFill>
                          <a:blip r:embed="rId11"/>
                          <a:stretch>
                            <a:fillRect/>
                          </a:stretch>
                        </pic:blipFill>
                        <pic:spPr>
                          <a:xfrm>
                            <a:off x="0" y="0"/>
                            <a:ext cx="5584825" cy="2283460"/>
                          </a:xfrm>
                          <a:prstGeom prst="rect">
                            <a:avLst/>
                          </a:prstGeom>
                        </pic:spPr>
                      </pic:pic>
                    </a:graphicData>
                  </a:graphic>
                </wp:inline>
              </w:drawing>
            </w:r>
          </w:p>
          <w:p>
            <w:pPr>
              <w:tabs>
                <w:tab w:val="left" w:pos="3036"/>
                <w:tab w:val="left" w:pos="4000"/>
                <w:tab w:val="left" w:pos="6640"/>
                <w:tab w:val="left" w:pos="7760"/>
              </w:tabs>
              <w:autoSpaceDE w:val="0"/>
              <w:autoSpaceDN w:val="0"/>
              <w:adjustRightInd w:val="0"/>
              <w:ind w:left="107" w:leftChars="51" w:firstLine="420" w:firstLineChars="200"/>
            </w:pPr>
          </w:p>
          <w:p>
            <w:pPr>
              <w:tabs>
                <w:tab w:val="left" w:pos="3036"/>
                <w:tab w:val="left" w:pos="4000"/>
                <w:tab w:val="left" w:pos="6640"/>
                <w:tab w:val="left" w:pos="7760"/>
              </w:tabs>
              <w:autoSpaceDE w:val="0"/>
              <w:autoSpaceDN w:val="0"/>
              <w:adjustRightInd w:val="0"/>
              <w:ind w:left="107" w:leftChars="51" w:firstLine="420" w:firstLineChars="200"/>
            </w:pPr>
            <w:r>
              <w:rPr>
                <w:rFonts w:hint="eastAsia"/>
              </w:rPr>
              <w:drawing>
                <wp:inline distT="0" distB="0" distL="114300" distR="114300">
                  <wp:extent cx="5532120" cy="3610610"/>
                  <wp:effectExtent l="0" t="0" r="11430" b="8890"/>
                  <wp:docPr id="10" name="图片 10" descr="煤检验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煤检验报告"/>
                          <pic:cNvPicPr>
                            <a:picLocks noChangeAspect="1"/>
                          </pic:cNvPicPr>
                        </pic:nvPicPr>
                        <pic:blipFill>
                          <a:blip r:embed="rId12"/>
                          <a:stretch>
                            <a:fillRect/>
                          </a:stretch>
                        </pic:blipFill>
                        <pic:spPr>
                          <a:xfrm>
                            <a:off x="0" y="0"/>
                            <a:ext cx="5532120" cy="3610610"/>
                          </a:xfrm>
                          <a:prstGeom prst="rect">
                            <a:avLst/>
                          </a:prstGeom>
                        </pic:spPr>
                      </pic:pic>
                    </a:graphicData>
                  </a:graphic>
                </wp:inline>
              </w:drawing>
            </w:r>
          </w:p>
          <w:p>
            <w:pPr>
              <w:ind w:firstLine="630" w:firstLineChars="300"/>
              <w:rPr>
                <w:rFonts w:hint="eastAsia"/>
              </w:rPr>
            </w:pPr>
            <w:r>
              <w:rPr>
                <w:rFonts w:hint="eastAsia"/>
              </w:rPr>
              <w:t>未发生在供方处进行验证的情况，采购产品验证符合标准要求。</w:t>
            </w:r>
          </w:p>
          <w:p>
            <w:pPr>
              <w:pStyle w:val="2"/>
              <w:ind w:left="0" w:leftChars="0" w:firstLine="0" w:firstLineChars="0"/>
              <w:rPr>
                <w:rFonts w:hint="eastAsia" w:ascii="宋体" w:hAnsi="宋体" w:cs="宋体"/>
                <w:color w:val="0000FF"/>
                <w:sz w:val="21"/>
                <w:szCs w:val="21"/>
                <w:lang w:val="en-US" w:eastAsia="zh-CN"/>
              </w:rPr>
            </w:pPr>
            <w:r>
              <w:rPr>
                <w:rFonts w:hint="eastAsia"/>
                <w:lang w:val="en-US" w:eastAsia="zh-CN"/>
              </w:rPr>
              <w:t xml:space="preserve">      </w:t>
            </w:r>
            <w:r>
              <w:rPr>
                <w:rFonts w:hint="eastAsia" w:ascii="宋体" w:hAnsi="宋体" w:cs="宋体"/>
                <w:color w:val="0000FF"/>
                <w:sz w:val="21"/>
                <w:szCs w:val="21"/>
                <w:lang w:val="en-US" w:eastAsia="zh-CN"/>
              </w:rPr>
              <w:t>补充现场审核：</w:t>
            </w:r>
          </w:p>
          <w:p>
            <w:pPr>
              <w:pStyle w:val="2"/>
              <w:ind w:left="0" w:leftChars="0" w:firstLine="630" w:firstLineChars="300"/>
              <w:rPr>
                <w:rFonts w:hint="default" w:ascii="宋体" w:hAnsi="宋体" w:cs="宋体"/>
                <w:color w:val="0000FF"/>
                <w:sz w:val="21"/>
                <w:szCs w:val="21"/>
                <w:lang w:val="en-US" w:eastAsia="zh-CN"/>
              </w:rPr>
            </w:pPr>
            <w:r>
              <w:rPr>
                <w:rFonts w:hint="eastAsia" w:ascii="宋体" w:hAnsi="宋体" w:cs="宋体"/>
                <w:color w:val="0000FF"/>
                <w:sz w:val="21"/>
                <w:szCs w:val="21"/>
                <w:lang w:val="en-US" w:eastAsia="zh-CN"/>
              </w:rPr>
              <w:t>提供有组织对原料进行委托检验的检测报告：报告名称：综合利用固体废渣生产蒸压加气混凝土切块的废渣掺量检测报告，检测单位：感舒适建材科研设计院有限责任公司（甘肃省建筑材料产品质量监督检验站），检测结论：民乐县天鼎建材有限责任公司蒸压加气混凝土切块生产原料中废渣掺加量：73.4%，其中：粉煤灰（干基）：72.8%，脱硫石膏（干基）：0.6%。报告日期：2020-09.</w:t>
            </w:r>
          </w:p>
          <w:p>
            <w:pPr>
              <w:pStyle w:val="2"/>
              <w:ind w:left="0" w:leftChars="0" w:firstLine="630" w:firstLineChars="300"/>
              <w:rPr>
                <w:rFonts w:hint="default" w:ascii="宋体" w:hAnsi="宋体" w:cs="宋体"/>
                <w:color w:val="0000FF"/>
                <w:sz w:val="21"/>
                <w:szCs w:val="21"/>
                <w:lang w:val="en-US" w:eastAsia="zh-CN"/>
              </w:rPr>
            </w:pPr>
            <w:r>
              <w:rPr>
                <w:rFonts w:hint="eastAsia" w:ascii="宋体" w:hAnsi="宋体" w:cs="宋体"/>
                <w:color w:val="0000FF"/>
                <w:sz w:val="21"/>
                <w:szCs w:val="21"/>
                <w:lang w:val="en-US" w:eastAsia="zh-CN"/>
              </w:rPr>
              <w:t>产品检测报告：产品名称：蒸汽加压混凝土切块，检验依据GB/T11968-2006/GB6566-2010/GB/T11969-2008/GB/T32989-2016，报告日期：2020-09-22</w:t>
            </w:r>
          </w:p>
          <w:p>
            <w:pPr>
              <w:widowControl/>
              <w:ind w:left="420" w:leftChars="200"/>
              <w:jc w:val="left"/>
            </w:pPr>
            <w:r>
              <w:rPr>
                <w:rFonts w:hint="eastAsia"/>
              </w:rPr>
              <w:t>（二）过程检验：（检验依据：检验员依据检验规范和国标进行检验。）</w:t>
            </w:r>
          </w:p>
          <w:p>
            <w:pPr>
              <w:ind w:firstLine="420" w:firstLineChars="200"/>
            </w:pPr>
            <w:r>
              <w:rPr>
                <w:rFonts w:hint="eastAsia"/>
              </w:rPr>
              <w:t>提供生产过程检验记录单。</w:t>
            </w:r>
          </w:p>
          <w:p>
            <w:pPr>
              <w:ind w:firstLine="420" w:firstLineChars="200"/>
            </w:pPr>
            <w:r>
              <w:rPr>
                <w:rFonts w:hint="eastAsia"/>
              </w:rPr>
              <w:t>抽查2020.10.13日制浆、浇注、静养、切割、蒸养检验记录表，检验方法：钢直尺、卷尺及目测，符合要求。</w:t>
            </w:r>
          </w:p>
          <w:p>
            <w:pPr>
              <w:ind w:firstLine="420" w:firstLineChars="200"/>
              <w:rPr>
                <w:highlight w:val="none"/>
              </w:rPr>
            </w:pPr>
            <w:r>
              <w:rPr>
                <w:rFonts w:hint="eastAsia"/>
                <w:highlight w:val="none"/>
              </w:rPr>
              <w:t>（三）成品检验：（检验依据成品检验规范、国标）</w:t>
            </w:r>
          </w:p>
          <w:p>
            <w:pPr>
              <w:ind w:left="34" w:firstLine="420" w:firstLineChars="200"/>
              <w:rPr>
                <w:highlight w:val="none"/>
              </w:rPr>
            </w:pPr>
            <w:r>
              <w:rPr>
                <w:rFonts w:hint="eastAsia"/>
                <w:highlight w:val="none"/>
              </w:rPr>
              <w:t>提供成品检测报告单</w:t>
            </w:r>
          </w:p>
          <w:p>
            <w:pPr>
              <w:ind w:left="34" w:firstLine="420" w:firstLineChars="200"/>
              <w:rPr>
                <w:highlight w:val="none"/>
              </w:rPr>
            </w:pPr>
            <w:r>
              <w:rPr>
                <w:rFonts w:hint="eastAsia"/>
                <w:highlight w:val="none"/>
              </w:rPr>
              <w:t>抽查2020.10.13日成品入库检验入库记录表，抽查33个砌块，对产品的尺寸、外观质量等进行了检验，结果合格。</w:t>
            </w:r>
          </w:p>
          <w:p>
            <w:pPr>
              <w:ind w:firstLine="420" w:firstLineChars="200"/>
              <w:rPr>
                <w:rFonts w:hint="eastAsia"/>
                <w:highlight w:val="none"/>
              </w:rPr>
            </w:pPr>
            <w:r>
              <w:rPr>
                <w:rFonts w:hint="eastAsia"/>
                <w:highlight w:val="none"/>
              </w:rPr>
              <w:t xml:space="preserve">抽查上述记录，均已按过程检验规范进行了规定项目的检验，通过远程核对，均符合要求。 </w:t>
            </w:r>
          </w:p>
          <w:p>
            <w:pPr>
              <w:pStyle w:val="2"/>
              <w:ind w:left="0" w:leftChars="0" w:firstLine="420" w:firstLineChars="200"/>
              <w:rPr>
                <w:rFonts w:hint="default" w:cs="宋体"/>
                <w:color w:val="0000FF"/>
                <w:sz w:val="21"/>
                <w:szCs w:val="21"/>
                <w:lang w:val="en-US" w:eastAsia="zh-CN"/>
              </w:rPr>
            </w:pPr>
            <w:r>
              <w:rPr>
                <w:rFonts w:hint="eastAsia" w:cs="宋体"/>
                <w:color w:val="0000FF"/>
                <w:sz w:val="21"/>
                <w:szCs w:val="21"/>
                <w:lang w:val="en-US" w:eastAsia="zh-CN"/>
              </w:rPr>
              <w:t>补充现场审核：2021年因企业改扩建实验室，产品出厂检验项目委托给：民乐县乾亨建材有限责任公司，提供有委托协议，企业产品生产有季节性，本次补充现场刚开始生产，还未进行产品出厂检验，未提供检验报告单，下次审核关注。</w:t>
            </w:r>
          </w:p>
          <w:p>
            <w:pPr>
              <w:ind w:firstLine="420" w:firstLineChars="200"/>
              <w:rPr>
                <w:highlight w:val="none"/>
              </w:rPr>
            </w:pPr>
            <w:r>
              <w:rPr>
                <w:rFonts w:hint="eastAsia"/>
                <w:highlight w:val="none"/>
              </w:rPr>
              <w:t>(四)第三方检验：</w:t>
            </w:r>
          </w:p>
          <w:p>
            <w:pPr>
              <w:ind w:firstLine="420" w:firstLineChars="200"/>
              <w:rPr>
                <w:highlight w:val="none"/>
              </w:rPr>
            </w:pPr>
            <w:r>
              <w:rPr>
                <w:rFonts w:hint="eastAsia"/>
                <w:highlight w:val="none"/>
              </w:rPr>
              <w:t>提供2020.9.21日产品委托检验报告，产品600X300X200蒸压加气混凝土砌块，结果合格，检验单位甘肃省建材科研设计院有限责任公司。</w:t>
            </w:r>
          </w:p>
          <w:p>
            <w:pPr>
              <w:ind w:firstLine="420" w:firstLineChars="200"/>
              <w:rPr>
                <w:highlight w:val="none"/>
              </w:rPr>
            </w:pPr>
            <w:r>
              <w:rPr>
                <w:highlight w:val="none"/>
              </w:rPr>
              <w:pict>
                <v:shape id="_x0000_s1026" o:spid="_x0000_s1026" o:spt="100" style="position:absolute;left:0pt;margin-left:1793.15pt;margin-top:7395.75pt;height:0pt;width:0pt;z-index:251661312;mso-width-relative:page;mso-height-relative:page;" filled="f" stroked="f" coordsize="21600,21600">
                  <v:fill on="f" focussize="0,0"/>
                  <v:stroke on="f"/>
                  <v:imagedata o:title=""/>
                  <o:lock v:ext="edit" rotation="t" text="t" aspectratio="t"/>
                  <o:ink i="ACQdAgQEAxVIEUUjGwI5iwBGIxsCOYsAVw0AAAAKBwEOUlgQUlo=&#10;"/>
                </v:shape>
              </w:pict>
            </w:r>
            <w:r>
              <w:rPr>
                <w:rFonts w:hint="eastAsia"/>
                <w:highlight w:val="none"/>
              </w:rPr>
              <w:t>通过上述记录了解到，组织对产品实现的各过程进行了有效的监视测量，并进行了相应状态的标识，产品必须经检验合格才能交付，确保能满足顾客对产品的质量要求。</w:t>
            </w:r>
          </w:p>
          <w:p>
            <w:pPr>
              <w:snapToGrid w:val="0"/>
              <w:spacing w:before="93" w:beforeLines="30" w:after="93" w:afterLines="30"/>
              <w:ind w:firstLine="420" w:firstLineChars="200"/>
              <w:rPr>
                <w:rFonts w:hint="eastAsia"/>
                <w:highlight w:val="none"/>
              </w:rPr>
            </w:pPr>
            <w:r>
              <w:rPr>
                <w:rFonts w:hint="eastAsia"/>
                <w:highlight w:val="none"/>
              </w:rPr>
              <w:t>公司产品的监视和测量控制基本符合规定要求。</w:t>
            </w:r>
          </w:p>
          <w:p>
            <w:pPr>
              <w:pStyle w:val="2"/>
              <w:ind w:left="0" w:leftChars="0" w:firstLine="0" w:firstLineChars="0"/>
            </w:pPr>
            <w:r>
              <w:rPr>
                <w:rFonts w:hint="eastAsia" w:ascii="宋体" w:hAnsi="宋体" w:cs="宋体"/>
                <w:color w:val="0000FF"/>
                <w:sz w:val="21"/>
                <w:szCs w:val="21"/>
                <w:lang w:val="en-US" w:eastAsia="zh-CN"/>
              </w:rPr>
              <w:t>经补充现场审核确认：</w:t>
            </w:r>
            <w:r>
              <w:rPr>
                <w:rFonts w:hint="eastAsia" w:cs="宋体"/>
                <w:color w:val="0000FF"/>
                <w:sz w:val="21"/>
                <w:szCs w:val="21"/>
                <w:lang w:val="en-US" w:eastAsia="zh-CN"/>
              </w:rPr>
              <w:t>除增加蓝色字体内容外，</w:t>
            </w:r>
            <w:r>
              <w:rPr>
                <w:rFonts w:hint="eastAsia" w:ascii="宋体" w:hAnsi="宋体" w:cs="宋体"/>
                <w:color w:val="0000FF"/>
                <w:sz w:val="21"/>
                <w:szCs w:val="21"/>
                <w:lang w:val="en-US" w:eastAsia="zh-CN"/>
              </w:rPr>
              <w:t>Q审核内容与远程审核一致。</w:t>
            </w:r>
          </w:p>
        </w:tc>
        <w:tc>
          <w:tcPr>
            <w:tcW w:w="1585" w:type="dxa"/>
          </w:tcPr>
          <w:p>
            <w:pPr>
              <w:rPr>
                <w:rFonts w:ascii="宋体" w:hAnsi="宋体" w:cs="宋体"/>
                <w:szCs w:val="21"/>
              </w:rPr>
            </w:pPr>
            <w:r>
              <w:rPr>
                <w:rFonts w:hint="eastAsia" w:ascii="宋体" w:hAnsi="宋体" w:cs="宋体"/>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752" w:type="dxa"/>
          </w:tcPr>
          <w:p>
            <w:pPr>
              <w:rPr>
                <w:rFonts w:ascii="宋体" w:hAnsi="宋体" w:cs="宋体"/>
                <w:szCs w:val="21"/>
              </w:rPr>
            </w:pPr>
            <w:r>
              <w:rPr>
                <w:rFonts w:hint="eastAsia" w:ascii="宋体" w:hAnsi="宋体" w:cs="宋体"/>
                <w:szCs w:val="21"/>
              </w:rPr>
              <w:t>不合格输出的控制</w:t>
            </w:r>
          </w:p>
        </w:tc>
        <w:tc>
          <w:tcPr>
            <w:tcW w:w="1215" w:type="dxa"/>
          </w:tcPr>
          <w:p>
            <w:pPr>
              <w:jc w:val="center"/>
              <w:rPr>
                <w:rFonts w:ascii="宋体" w:hAnsi="宋体" w:cs="宋体"/>
                <w:szCs w:val="21"/>
              </w:rPr>
            </w:pPr>
          </w:p>
          <w:p>
            <w:pPr>
              <w:rPr>
                <w:rFonts w:ascii="宋体" w:hAnsi="宋体" w:cs="宋体"/>
                <w:szCs w:val="21"/>
              </w:rPr>
            </w:pPr>
            <w:r>
              <w:rPr>
                <w:rFonts w:hint="eastAsia" w:ascii="宋体" w:hAnsi="宋体" w:cs="宋体"/>
                <w:szCs w:val="21"/>
              </w:rPr>
              <w:t>Q：8.7</w:t>
            </w:r>
          </w:p>
          <w:p>
            <w:pPr>
              <w:rPr>
                <w:rFonts w:ascii="宋体" w:hAnsi="宋体" w:cs="宋体"/>
                <w:szCs w:val="21"/>
              </w:rPr>
            </w:pPr>
          </w:p>
        </w:tc>
        <w:tc>
          <w:tcPr>
            <w:tcW w:w="10100" w:type="dxa"/>
          </w:tcPr>
          <w:p>
            <w:pPr>
              <w:ind w:firstLine="420" w:firstLineChars="200"/>
              <w:jc w:val="left"/>
            </w:pPr>
            <w:r>
              <w:rPr>
                <w:rFonts w:hint="eastAsia"/>
              </w:rPr>
              <w:t>提供的《不合格品输出控制程序》中规定了对不合格品的标识、记录、隔离、记录和处置的控制要求。采购检验中发现的不合格，要求做好相应的标识，并及时通知采购人员作退/换货处理，生产过程和产品检验过程中发现的少量不合格品作返工、返修和报废处理，批量的不合格品要求填写“不合格品报告”，记录不合格品名称、规格/型号、数量、不合格事实、评审处置措施，验证结果等。</w:t>
            </w:r>
          </w:p>
          <w:p>
            <w:pPr>
              <w:ind w:firstLine="420" w:firstLineChars="200"/>
              <w:jc w:val="left"/>
            </w:pPr>
            <w:r>
              <w:rPr>
                <w:rFonts w:hint="eastAsia"/>
              </w:rPr>
              <w:t>抽2020年11月18日“不合格品评审处置单”：</w:t>
            </w:r>
          </w:p>
          <w:p>
            <w:pPr>
              <w:ind w:firstLine="420" w:firstLineChars="200"/>
              <w:jc w:val="left"/>
            </w:pPr>
            <w:r>
              <w:rPr>
                <w:rFonts w:hint="eastAsia"/>
              </w:rPr>
              <w:t>不合格品描述：砌块尺寸不合格，发生区域：切割工序</w:t>
            </w:r>
          </w:p>
          <w:p>
            <w:pPr>
              <w:ind w:firstLine="420" w:firstLineChars="200"/>
              <w:jc w:val="left"/>
            </w:pPr>
            <w:r>
              <w:rPr>
                <w:rFonts w:hint="eastAsia"/>
              </w:rPr>
              <w:t>不符合原因：切割过程中操作速度过快，处理意见：按技术指示执行；评审人：李丰涛。</w:t>
            </w:r>
          </w:p>
          <w:p>
            <w:pPr>
              <w:ind w:firstLine="420" w:firstLineChars="200"/>
              <w:jc w:val="left"/>
            </w:pPr>
            <w:r>
              <w:rPr>
                <w:rFonts w:hint="eastAsia"/>
              </w:rPr>
              <w:t>跟踪验证：对员工进行现场培训相关作业要求及注意事项。</w:t>
            </w:r>
          </w:p>
          <w:p>
            <w:pPr>
              <w:ind w:firstLine="420" w:firstLineChars="200"/>
              <w:jc w:val="left"/>
            </w:pPr>
            <w:r>
              <w:rPr>
                <w:rFonts w:hint="eastAsia"/>
              </w:rPr>
              <w:t>验证：已重新生产，并进行了培训。验证人：毛金兰2020年11月18日。</w:t>
            </w:r>
          </w:p>
          <w:p>
            <w:pPr>
              <w:spacing w:before="93" w:beforeLines="30" w:after="93" w:afterLines="30"/>
              <w:ind w:firstLine="420" w:firstLineChars="200"/>
              <w:rPr>
                <w:rFonts w:hint="eastAsia"/>
              </w:rPr>
            </w:pPr>
            <w:r>
              <w:rPr>
                <w:rFonts w:hint="eastAsia"/>
              </w:rPr>
              <w:t>出现不符合情况，能有效得到控制纠正改善。</w:t>
            </w:r>
          </w:p>
          <w:p>
            <w:pPr>
              <w:pStyle w:val="2"/>
              <w:ind w:left="0" w:leftChars="0" w:firstLine="0" w:firstLineChars="0"/>
            </w:pPr>
            <w:r>
              <w:rPr>
                <w:rFonts w:hint="eastAsia" w:ascii="宋体" w:hAnsi="宋体" w:cs="宋体"/>
                <w:color w:val="0000FF"/>
                <w:sz w:val="21"/>
                <w:szCs w:val="21"/>
                <w:lang w:val="en-US" w:eastAsia="zh-CN"/>
              </w:rPr>
              <w:t>经补充现场审核确认：Q审核内容与远程审核一致。</w:t>
            </w:r>
          </w:p>
        </w:tc>
        <w:tc>
          <w:tcPr>
            <w:tcW w:w="1585" w:type="dxa"/>
          </w:tcPr>
          <w:p>
            <w:pPr>
              <w:rPr>
                <w:rFonts w:ascii="宋体" w:hAnsi="宋体" w:cs="宋体"/>
                <w:szCs w:val="21"/>
              </w:rPr>
            </w:pPr>
            <w:r>
              <w:rPr>
                <w:rFonts w:hint="eastAsia" w:ascii="宋体" w:hAnsi="宋体" w:cs="宋体"/>
                <w:szCs w:val="21"/>
              </w:rPr>
              <w:t>Y</w:t>
            </w:r>
          </w:p>
        </w:tc>
      </w:tr>
    </w:tbl>
    <w:p>
      <w:r>
        <w:ptab w:relativeTo="margin" w:alignment="center" w:leader="none"/>
      </w:r>
    </w:p>
    <w:p>
      <w:pPr>
        <w:pStyle w:val="6"/>
      </w:pPr>
      <w:r>
        <w:rPr>
          <w:rFonts w:hint="eastAsia"/>
        </w:rPr>
        <w:t>说明：不符合标注N</w:t>
      </w:r>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7"/>
      <w:pBdr>
        <w:bottom w:val="none" w:color="auto" w:sz="0" w:space="0"/>
      </w:pBdr>
      <w:spacing w:line="320" w:lineRule="exact"/>
      <w:jc w:val="left"/>
    </w:pPr>
    <w:r>
      <w:pict>
        <v:shape id="_x0000_s2049" o:spid="_x0000_s2049"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78CDF"/>
    <w:multiLevelType w:val="singleLevel"/>
    <w:tmpl w:val="CD778CDF"/>
    <w:lvl w:ilvl="0" w:tentative="0">
      <w:start w:val="1"/>
      <w:numFmt w:val="decimal"/>
      <w:suff w:val="nothing"/>
      <w:lvlText w:val="%1、"/>
      <w:lvlJc w:val="left"/>
      <w:pPr>
        <w:ind w:left="-60"/>
      </w:pPr>
    </w:lvl>
  </w:abstractNum>
  <w:abstractNum w:abstractNumId="1">
    <w:nsid w:val="2D558F52"/>
    <w:multiLevelType w:val="singleLevel"/>
    <w:tmpl w:val="2D558F52"/>
    <w:lvl w:ilvl="0" w:tentative="0">
      <w:start w:val="1"/>
      <w:numFmt w:val="decimal"/>
      <w:suff w:val="nothing"/>
      <w:lvlText w:val="（%1）"/>
      <w:lvlJc w:val="left"/>
    </w:lvl>
  </w:abstractNum>
  <w:abstractNum w:abstractNumId="2">
    <w:nsid w:val="33638A8C"/>
    <w:multiLevelType w:val="singleLevel"/>
    <w:tmpl w:val="33638A8C"/>
    <w:lvl w:ilvl="0" w:tentative="0">
      <w:start w:val="5"/>
      <w:numFmt w:val="decimal"/>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D063E4"/>
    <w:rsid w:val="00187A58"/>
    <w:rsid w:val="002515E2"/>
    <w:rsid w:val="002A5A9C"/>
    <w:rsid w:val="00370420"/>
    <w:rsid w:val="00561166"/>
    <w:rsid w:val="005E5015"/>
    <w:rsid w:val="006351C6"/>
    <w:rsid w:val="006642E9"/>
    <w:rsid w:val="00730281"/>
    <w:rsid w:val="008B0A22"/>
    <w:rsid w:val="009D10D6"/>
    <w:rsid w:val="00A07AA2"/>
    <w:rsid w:val="00A23659"/>
    <w:rsid w:val="00CD5649"/>
    <w:rsid w:val="00CE417D"/>
    <w:rsid w:val="00D063E4"/>
    <w:rsid w:val="00D6273F"/>
    <w:rsid w:val="00D65AC3"/>
    <w:rsid w:val="00D7203A"/>
    <w:rsid w:val="00EF1735"/>
    <w:rsid w:val="00F8010E"/>
    <w:rsid w:val="03DD039D"/>
    <w:rsid w:val="0497303F"/>
    <w:rsid w:val="063E53B1"/>
    <w:rsid w:val="06646A6F"/>
    <w:rsid w:val="08AA7F6D"/>
    <w:rsid w:val="09CC20B6"/>
    <w:rsid w:val="09D95350"/>
    <w:rsid w:val="0ADD02B5"/>
    <w:rsid w:val="0D0B6559"/>
    <w:rsid w:val="0E87534E"/>
    <w:rsid w:val="0F5E5294"/>
    <w:rsid w:val="0FE96C54"/>
    <w:rsid w:val="149D3F70"/>
    <w:rsid w:val="17BF159A"/>
    <w:rsid w:val="17C82FA3"/>
    <w:rsid w:val="19AF7422"/>
    <w:rsid w:val="1AFB5495"/>
    <w:rsid w:val="1B923041"/>
    <w:rsid w:val="1CEB7E6C"/>
    <w:rsid w:val="1CF22D1E"/>
    <w:rsid w:val="1D0A65C3"/>
    <w:rsid w:val="1EDC5C33"/>
    <w:rsid w:val="1EF97B90"/>
    <w:rsid w:val="216450CA"/>
    <w:rsid w:val="22137A4A"/>
    <w:rsid w:val="24E600E3"/>
    <w:rsid w:val="253A47C6"/>
    <w:rsid w:val="25422895"/>
    <w:rsid w:val="27DA1641"/>
    <w:rsid w:val="28145B0B"/>
    <w:rsid w:val="291C62D8"/>
    <w:rsid w:val="2D1F33BE"/>
    <w:rsid w:val="2EA14E9A"/>
    <w:rsid w:val="337810B5"/>
    <w:rsid w:val="34E645DA"/>
    <w:rsid w:val="38895708"/>
    <w:rsid w:val="389D0C7B"/>
    <w:rsid w:val="39504644"/>
    <w:rsid w:val="39595192"/>
    <w:rsid w:val="395E31ED"/>
    <w:rsid w:val="39892C49"/>
    <w:rsid w:val="39B22D4C"/>
    <w:rsid w:val="3A7B5426"/>
    <w:rsid w:val="3ADB10DE"/>
    <w:rsid w:val="3B7D66C6"/>
    <w:rsid w:val="3C2C5DE4"/>
    <w:rsid w:val="4080309B"/>
    <w:rsid w:val="41610BBB"/>
    <w:rsid w:val="418A3B3E"/>
    <w:rsid w:val="42472051"/>
    <w:rsid w:val="428A421A"/>
    <w:rsid w:val="45157DD9"/>
    <w:rsid w:val="46ED26EA"/>
    <w:rsid w:val="47A61467"/>
    <w:rsid w:val="48977F2D"/>
    <w:rsid w:val="4ACA11FE"/>
    <w:rsid w:val="4BCD2D1B"/>
    <w:rsid w:val="4FB04420"/>
    <w:rsid w:val="50BD35F0"/>
    <w:rsid w:val="54576C47"/>
    <w:rsid w:val="55283B0B"/>
    <w:rsid w:val="563411D0"/>
    <w:rsid w:val="5693667C"/>
    <w:rsid w:val="572204CD"/>
    <w:rsid w:val="576B78E9"/>
    <w:rsid w:val="593516B3"/>
    <w:rsid w:val="59E13FE8"/>
    <w:rsid w:val="59EC7BE9"/>
    <w:rsid w:val="5B332390"/>
    <w:rsid w:val="5CAE39C8"/>
    <w:rsid w:val="5E073BEC"/>
    <w:rsid w:val="5F1028BB"/>
    <w:rsid w:val="60854831"/>
    <w:rsid w:val="609343FB"/>
    <w:rsid w:val="60CC2D99"/>
    <w:rsid w:val="64777D6D"/>
    <w:rsid w:val="65F26A42"/>
    <w:rsid w:val="65F576EB"/>
    <w:rsid w:val="666545FD"/>
    <w:rsid w:val="680155B3"/>
    <w:rsid w:val="68621FA9"/>
    <w:rsid w:val="69CF37D0"/>
    <w:rsid w:val="69F95F3B"/>
    <w:rsid w:val="6A114CFB"/>
    <w:rsid w:val="6BBA17C7"/>
    <w:rsid w:val="6C6C235D"/>
    <w:rsid w:val="6D2B6E5A"/>
    <w:rsid w:val="6E8A1A04"/>
    <w:rsid w:val="6FC21137"/>
    <w:rsid w:val="70650073"/>
    <w:rsid w:val="72074EE9"/>
    <w:rsid w:val="7244594B"/>
    <w:rsid w:val="73152E60"/>
    <w:rsid w:val="76772862"/>
    <w:rsid w:val="77481D26"/>
    <w:rsid w:val="79EB31A9"/>
    <w:rsid w:val="7D1D46AD"/>
    <w:rsid w:val="7D1E5C0F"/>
    <w:rsid w:val="7D576CE2"/>
    <w:rsid w:val="7D7C08BA"/>
    <w:rsid w:val="7EF84701"/>
    <w:rsid w:val="7FA26B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tabs>
        <w:tab w:val="left" w:pos="540"/>
      </w:tabs>
      <w:ind w:firstLine="420" w:firstLineChars="200"/>
    </w:pPr>
  </w:style>
  <w:style w:type="paragraph" w:styleId="3">
    <w:name w:val="Body Text Indent"/>
    <w:basedOn w:val="1"/>
    <w:qFormat/>
    <w:uiPriority w:val="0"/>
    <w:pPr>
      <w:ind w:left="420" w:firstLine="744"/>
    </w:pPr>
    <w:rPr>
      <w:rFonts w:ascii="宋体" w:hAnsi="宋体"/>
      <w:szCs w:val="24"/>
    </w:rPr>
  </w:style>
  <w:style w:type="paragraph" w:styleId="4">
    <w:name w:val="Body Text"/>
    <w:basedOn w:val="1"/>
    <w:unhideWhenUsed/>
    <w:qFormat/>
    <w:uiPriority w:val="99"/>
    <w:pPr>
      <w:spacing w:after="120"/>
    </w:p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next w:val="4"/>
    <w:link w:val="11"/>
    <w:unhideWhenUsed/>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7"/>
    <w:qFormat/>
    <w:uiPriority w:val="99"/>
    <w:rPr>
      <w:rFonts w:ascii="Times New Roman" w:hAnsi="Times New Roman" w:eastAsia="宋体" w:cs="Times New Roman"/>
      <w:sz w:val="18"/>
      <w:szCs w:val="18"/>
    </w:rPr>
  </w:style>
  <w:style w:type="character" w:customStyle="1" w:styleId="12">
    <w:name w:val="页脚 字符"/>
    <w:basedOn w:val="10"/>
    <w:link w:val="6"/>
    <w:qFormat/>
    <w:uiPriority w:val="99"/>
    <w:rPr>
      <w:rFonts w:ascii="Times New Roman" w:hAnsi="Times New Roman" w:eastAsia="宋体" w:cs="Times New Roman"/>
      <w:sz w:val="18"/>
      <w:szCs w:val="18"/>
    </w:rPr>
  </w:style>
  <w:style w:type="character" w:customStyle="1" w:styleId="13">
    <w:name w:val="批注框文本 字符"/>
    <w:basedOn w:val="10"/>
    <w:link w:val="5"/>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1407</Words>
  <Characters>8023</Characters>
  <Lines>66</Lines>
  <Paragraphs>18</Paragraphs>
  <TotalTime>1</TotalTime>
  <ScaleCrop>false</ScaleCrop>
  <LinksUpToDate>false</LinksUpToDate>
  <CharactersWithSpaces>9412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张磊</cp:lastModifiedBy>
  <dcterms:modified xsi:type="dcterms:W3CDTF">2021-05-25T00:11:56Z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D5698AE705D64E3D8F63F0E3F51313E7</vt:lpwstr>
  </property>
</Properties>
</file>