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民乐县天鼎建材有限责任公司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白玉成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QEO：</w:t>
            </w:r>
            <w:r>
              <w:rPr>
                <w:b/>
                <w:sz w:val="20"/>
              </w:rPr>
              <w:t>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原材料细磨→制浆→配料→搅拌浇注 →静养→切割成型→蒸养→检验→入库→交付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关键过程： 配料—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控制硅钙比例;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蒸养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：控制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蒸养温度和时间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需确认过程：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搅拌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控制硅钙比例在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一定温度下，加入铝粉使其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充分发生化学反应。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制订了《环境因素识别与评价控制程序》，编制了《环境因素识别评价表》，编制了《重要环境因素清单》，重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环境因素主要为：粉尘的排放，废气排放，噪声排放，固废排放，火灾爆炸等5项。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制订了《危险源辨识与评价控制程序》，编制了《危 险 源 辨 识 评 价 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，编制了《不可接受风险及其控制措施清单》，不可接受风险主要为：机械伤害，火灾爆炸，职业病，触电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蒸压加气混凝土砌块》GB11968-2006、《蒸压加气混凝土砌板》GB15762-2008、《蒸压砂加气混凝土精确砌块墙体自保温系统应用技术规程》DB42/T743-2016《水泥化学分析方法》GB/T176-2008《通用硅酸盐水泥》GB175-2007《硅酸盐建筑制品用砂》JC/T622-2009《硅酸盐建筑制品用生石灰》JC/T621-2009《加气混凝土用铝粉膏》JC/T407-2008、《工业企业厂界噪声标准》GB12348-2008、《工作场所有害因素职业接触限值 第2部分:物理因素》GBZ2.2-2007《中华人民共和国职业病防治法》主席令第52号《工作场所职业病危害警示标识》GBZ158－2003。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《蒸压加气混凝土砌块》GB11968-2006、《蒸压加气混凝土砌板》GB15762-2008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白玉成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2020.4.25</w:t>
      </w:r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2020.4.25</w:t>
      </w:r>
      <w:r>
        <w:rPr>
          <w:rFonts w:hint="eastAsia" w:ascii="宋体"/>
          <w:b/>
          <w:sz w:val="22"/>
          <w:szCs w:val="22"/>
        </w:rPr>
        <w:t xml:space="preserve"> 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A17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2021-04-25T03:18:57Z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D24DDFEDACC6465BAFCC4EA29C32CB9F</vt:lpwstr>
  </property>
</Properties>
</file>