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D" w:rsidRDefault="00737EFD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596"/>
        <w:gridCol w:w="993"/>
      </w:tblGrid>
      <w:tr w:rsidR="00737EFD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37EFD" w:rsidRDefault="00737EFD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7EFD" w:rsidRDefault="00737EFD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7EFD" w:rsidRDefault="00737EFD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737EFD" w:rsidRDefault="00737EFD" w:rsidP="00B577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AC16CB"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AC16CB">
              <w:rPr>
                <w:rFonts w:hint="eastAsia"/>
                <w:sz w:val="24"/>
                <w:szCs w:val="24"/>
              </w:rPr>
              <w:t>采购部、销售部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AC16CB">
              <w:rPr>
                <w:rFonts w:hint="eastAsia"/>
                <w:sz w:val="24"/>
                <w:szCs w:val="24"/>
              </w:rPr>
              <w:t>工程部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678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陪同：</w:t>
            </w:r>
            <w:bookmarkStart w:id="0" w:name="联系人"/>
            <w:r w:rsidR="00AC16CB">
              <w:rPr>
                <w:rFonts w:hint="eastAsia"/>
                <w:szCs w:val="21"/>
              </w:rPr>
              <w:t>熊淑莹</w:t>
            </w:r>
            <w:bookmarkEnd w:id="0"/>
          </w:p>
        </w:tc>
        <w:tc>
          <w:tcPr>
            <w:tcW w:w="993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37EFD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040B8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7E58">
              <w:rPr>
                <w:rFonts w:hint="eastAsia"/>
                <w:sz w:val="24"/>
                <w:szCs w:val="24"/>
              </w:rPr>
              <w:t>姜海军、</w:t>
            </w:r>
            <w:r w:rsidR="004047AF">
              <w:rPr>
                <w:rFonts w:hint="eastAsia"/>
                <w:sz w:val="24"/>
                <w:szCs w:val="24"/>
              </w:rPr>
              <w:t>文波、</w:t>
            </w:r>
            <w:r w:rsidR="004047AF" w:rsidRPr="004047AF">
              <w:rPr>
                <w:sz w:val="24"/>
                <w:szCs w:val="24"/>
              </w:rPr>
              <w:t>卢志强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047AF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D7E58">
              <w:rPr>
                <w:rFonts w:hint="eastAsia"/>
                <w:sz w:val="24"/>
                <w:szCs w:val="24"/>
              </w:rPr>
              <w:t>2</w:t>
            </w:r>
            <w:r w:rsidR="004047AF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1255"/>
        </w:trPr>
        <w:tc>
          <w:tcPr>
            <w:tcW w:w="2160" w:type="dxa"/>
          </w:tcPr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737EFD" w:rsidRDefault="00737EFD" w:rsidP="00E14D7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>
            <w:pPr>
              <w:pStyle w:val="a6"/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/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737EFD" w:rsidRDefault="00737EFD" w:rsidP="00E14D74"/>
        </w:tc>
        <w:tc>
          <w:tcPr>
            <w:tcW w:w="960" w:type="dxa"/>
          </w:tcPr>
          <w:p w:rsidR="00737EFD" w:rsidRDefault="00737EFD" w:rsidP="00E14D74"/>
        </w:tc>
        <w:tc>
          <w:tcPr>
            <w:tcW w:w="10596" w:type="dxa"/>
          </w:tcPr>
          <w:p w:rsidR="00737EFD" w:rsidRDefault="009D7E58" w:rsidP="00A56783">
            <w:pPr>
              <w:tabs>
                <w:tab w:val="left" w:pos="426"/>
              </w:tabs>
              <w:spacing w:line="440" w:lineRule="exact"/>
              <w:ind w:firstLineChars="200" w:firstLine="420"/>
            </w:pPr>
            <w:bookmarkStart w:id="1" w:name="组织名称"/>
            <w:r w:rsidRPr="00CA303E">
              <w:rPr>
                <w:color w:val="000000"/>
                <w:szCs w:val="21"/>
              </w:rPr>
              <w:t>公司</w:t>
            </w:r>
            <w:bookmarkEnd w:id="1"/>
            <w:r w:rsidR="000430AD">
              <w:rPr>
                <w:rFonts w:hint="eastAsia"/>
              </w:rPr>
              <w:t>主要从事</w:t>
            </w:r>
            <w:r w:rsidR="00D3311B">
              <w:rPr>
                <w:rFonts w:hint="eastAsia"/>
              </w:rPr>
              <w:t>系统集成（温湿度控制、机电系统控制、视频监视控制、环境质量控制、照明系统控制）、计算机网络及软件开发</w:t>
            </w:r>
            <w:r w:rsidR="00737EFD">
              <w:rPr>
                <w:rFonts w:hint="eastAsia"/>
              </w:rPr>
              <w:t>。</w:t>
            </w:r>
          </w:p>
          <w:p w:rsidR="00737EFD" w:rsidRPr="00C819D2" w:rsidRDefault="009D7E58" w:rsidP="007F4540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/>
                <w:b/>
                <w:bCs/>
                <w:color w:val="000000"/>
                <w:szCs w:val="21"/>
              </w:rPr>
            </w:pPr>
            <w:r>
              <w:t> </w:t>
            </w:r>
            <w:r w:rsidR="00737EFD"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  <w:r w:rsidR="00AC16CB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AC16CB" w:rsidRDefault="00AC16CB" w:rsidP="00AC16CB">
            <w:pPr>
              <w:spacing w:line="240" w:lineRule="exact"/>
            </w:pPr>
            <w:r>
              <w:t>Q</w:t>
            </w:r>
            <w:r>
              <w:rPr>
                <w:rFonts w:hint="eastAsia"/>
              </w:rPr>
              <w:t>：系统集成（温湿度控制、机电系统控制、视频监视控制、环境质量控制、照明系统控制）、计算机网络及软件开发</w:t>
            </w:r>
            <w:r w:rsidR="007807D9">
              <w:rPr>
                <w:rFonts w:hint="eastAsia"/>
              </w:rPr>
              <w:t>；</w:t>
            </w:r>
          </w:p>
          <w:p w:rsidR="00AC16CB" w:rsidRDefault="00AC16CB" w:rsidP="00AC16CB">
            <w:pPr>
              <w:spacing w:line="240" w:lineRule="exact"/>
            </w:pPr>
            <w:r>
              <w:t>E</w:t>
            </w:r>
            <w:r>
              <w:rPr>
                <w:rFonts w:hint="eastAsia"/>
              </w:rPr>
              <w:t>：系统集成（温湿度控制、机电系统控制、视频监视控制、环境质量控制、照明系统控制）、计算机网络及软件开发及其所涉及的相关管理活动</w:t>
            </w:r>
            <w:r w:rsidR="007807D9">
              <w:rPr>
                <w:rFonts w:hint="eastAsia"/>
              </w:rPr>
              <w:t>；</w:t>
            </w:r>
          </w:p>
          <w:p w:rsidR="00D3311B" w:rsidRDefault="00AC16CB" w:rsidP="00AC16CB">
            <w:r>
              <w:t>O</w:t>
            </w:r>
            <w:r>
              <w:rPr>
                <w:rFonts w:hint="eastAsia"/>
              </w:rPr>
              <w:t>：系统集成（温湿度控制、机电系统控制、视频监视控制、环境质量控制、照明系统控制）、计算机网络及软件开发及其所涉及的相关管理活动</w:t>
            </w:r>
            <w:r w:rsidR="007807D9">
              <w:rPr>
                <w:rFonts w:hint="eastAsia"/>
              </w:rPr>
              <w:t>；</w:t>
            </w:r>
          </w:p>
          <w:p w:rsidR="00737EFD" w:rsidRDefault="00737EFD" w:rsidP="00AC16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 w:rsidR="00D3311B">
              <w:rPr>
                <w:rFonts w:ascii="宋体" w:hAnsi="宋体" w:hint="eastAsia"/>
                <w:b/>
                <w:szCs w:val="21"/>
              </w:rPr>
              <w:t>无，</w:t>
            </w:r>
          </w:p>
          <w:p w:rsidR="00737EFD" w:rsidRPr="000E7E79" w:rsidRDefault="00737EFD" w:rsidP="00E14D74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r w:rsidRPr="000E7E79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0E7E79">
              <w:rPr>
                <w:rFonts w:ascii="宋体"/>
                <w:szCs w:val="21"/>
              </w:rPr>
              <w:t>-</w:t>
            </w:r>
            <w:r w:rsidR="00D3311B">
              <w:rPr>
                <w:rFonts w:ascii="宋体" w:hint="eastAsia"/>
                <w:szCs w:val="21"/>
              </w:rPr>
              <w:t>3</w:t>
            </w:r>
            <w:r w:rsidRPr="000E7E79">
              <w:rPr>
                <w:rFonts w:ascii="宋体"/>
                <w:szCs w:val="21"/>
              </w:rPr>
              <w:t>-</w:t>
            </w:r>
            <w:r w:rsidR="000D59C3">
              <w:rPr>
                <w:rFonts w:ascii="宋体" w:hint="eastAsia"/>
                <w:szCs w:val="21"/>
              </w:rPr>
              <w:t>1</w:t>
            </w:r>
            <w:r w:rsidR="00D3311B"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37EFD" w:rsidRDefault="00737EFD" w:rsidP="00E14D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</w:t>
            </w:r>
            <w:r w:rsidR="00AC16CB">
              <w:rPr>
                <w:rFonts w:hint="eastAsia"/>
                <w:szCs w:val="21"/>
              </w:rPr>
              <w:t>行政部</w:t>
            </w:r>
            <w:r>
              <w:rPr>
                <w:rFonts w:hint="eastAsia"/>
                <w:szCs w:val="21"/>
              </w:rPr>
              <w:t>、</w:t>
            </w:r>
            <w:r w:rsidR="00AC16CB">
              <w:rPr>
                <w:rFonts w:hint="eastAsia"/>
                <w:szCs w:val="21"/>
              </w:rPr>
              <w:t>采购部、销售部</w:t>
            </w:r>
            <w:r>
              <w:rPr>
                <w:rFonts w:hint="eastAsia"/>
                <w:szCs w:val="21"/>
              </w:rPr>
              <w:t>、</w:t>
            </w:r>
            <w:r w:rsidR="00AC16CB">
              <w:rPr>
                <w:rFonts w:hint="eastAsia"/>
                <w:szCs w:val="21"/>
              </w:rPr>
              <w:t>工程部</w:t>
            </w:r>
            <w:r>
              <w:rPr>
                <w:rFonts w:hint="eastAsia"/>
                <w:szCs w:val="21"/>
              </w:rPr>
              <w:t>。</w:t>
            </w:r>
          </w:p>
          <w:p w:rsidR="00737EFD" w:rsidRPr="00332D97" w:rsidRDefault="00737EFD" w:rsidP="00CF14B8">
            <w:pPr>
              <w:spacing w:line="480" w:lineRule="exact"/>
              <w:ind w:right="-6"/>
              <w:rPr>
                <w:szCs w:val="21"/>
              </w:rPr>
            </w:pPr>
            <w:r w:rsidRPr="00332D97">
              <w:rPr>
                <w:rFonts w:hint="eastAsia"/>
                <w:szCs w:val="21"/>
              </w:rPr>
              <w:t>流程</w:t>
            </w:r>
            <w:r w:rsidR="008457A9">
              <w:rPr>
                <w:rFonts w:hint="eastAsia"/>
                <w:szCs w:val="21"/>
              </w:rPr>
              <w:t>图：</w:t>
            </w:r>
          </w:p>
          <w:p w:rsidR="00B56E77" w:rsidRDefault="00B6648C" w:rsidP="00B56E77">
            <w:pPr>
              <w:spacing w:line="400" w:lineRule="exact"/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项目接收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实地调查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初步设计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详细设计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236070">
              <w:rPr>
                <w:rFonts w:ascii="宋体" w:hAnsi="宋体" w:cs="宋体" w:hint="eastAsia"/>
                <w:bCs/>
                <w:color w:val="000000"/>
                <w:szCs w:val="21"/>
              </w:rPr>
              <w:t>测试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8F3289">
              <w:rPr>
                <w:rFonts w:ascii="宋体" w:hAnsi="宋体" w:cs="宋体" w:hint="eastAsia"/>
                <w:bCs/>
                <w:color w:val="000000"/>
                <w:szCs w:val="21"/>
              </w:rPr>
              <w:t>安装调试</w:t>
            </w:r>
            <w:r w:rsidR="00236070">
              <w:rPr>
                <w:rFonts w:ascii="宋体" w:hAnsi="宋体" w:cs="宋体" w:hint="eastAsia"/>
                <w:bCs/>
                <w:color w:val="000000"/>
                <w:szCs w:val="21"/>
              </w:rPr>
              <w:t>试运行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236070">
              <w:rPr>
                <w:rFonts w:ascii="宋体" w:hAnsi="宋体" w:cs="宋体" w:hint="eastAsia"/>
                <w:bCs/>
                <w:color w:val="000000"/>
                <w:szCs w:val="21"/>
              </w:rPr>
              <w:t>交付</w:t>
            </w:r>
            <w:r w:rsidR="00B56E77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B56E77" w:rsidRDefault="00236070" w:rsidP="00B56E7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  <w:p w:rsidR="00737EFD" w:rsidRDefault="00737EFD" w:rsidP="00B56E7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737EFD" w:rsidRDefault="00737EFD" w:rsidP="00E14D7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 w:rsidR="00E42CF9"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</w:t>
            </w:r>
            <w:r>
              <w:rPr>
                <w:rFonts w:ascii="宋体" w:hAnsi="宋体" w:cs="宋体" w:hint="eastAsia"/>
                <w:kern w:val="0"/>
                <w:szCs w:val="21"/>
              </w:rPr>
              <w:t>清单》</w:t>
            </w:r>
          </w:p>
          <w:p w:rsidR="00737EFD" w:rsidRDefault="005F4BD1" w:rsidP="00B03FF2">
            <w:pPr>
              <w:pStyle w:val="a6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37EFD">
              <w:rPr>
                <w:szCs w:val="21"/>
              </w:rPr>
              <w:tab/>
            </w:r>
          </w:p>
          <w:p w:rsidR="00737EFD" w:rsidRPr="008766EC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737EFD" w:rsidRDefault="00737EFD" w:rsidP="00E14D74">
            <w:pPr>
              <w:spacing w:line="440" w:lineRule="exact"/>
              <w:rPr>
                <w:sz w:val="24"/>
                <w:szCs w:val="24"/>
              </w:rPr>
            </w:pP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公司的质量、环境和职业健康安全的方针：</w:t>
            </w:r>
          </w:p>
          <w:p w:rsidR="008F3289" w:rsidRPr="008F3289" w:rsidRDefault="00737EFD" w:rsidP="008F3289">
            <w:pPr>
              <w:spacing w:line="400" w:lineRule="exact"/>
              <w:ind w:firstLineChars="200" w:firstLine="420"/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“</w:t>
            </w:r>
            <w:r w:rsidR="008F3289" w:rsidRPr="008F3289">
              <w:rPr>
                <w:rFonts w:hint="eastAsia"/>
                <w:szCs w:val="21"/>
              </w:rPr>
              <w:t>技术先进</w:t>
            </w:r>
            <w:r w:rsidR="008F3289" w:rsidRPr="008F3289">
              <w:rPr>
                <w:rFonts w:hint="eastAsia"/>
                <w:szCs w:val="21"/>
              </w:rPr>
              <w:t xml:space="preserve">    </w:t>
            </w:r>
            <w:r w:rsidR="008F3289" w:rsidRPr="008F3289">
              <w:rPr>
                <w:rFonts w:hint="eastAsia"/>
                <w:szCs w:val="21"/>
              </w:rPr>
              <w:t>顾客满意</w:t>
            </w:r>
            <w:r w:rsidR="008F3289" w:rsidRPr="008F3289">
              <w:rPr>
                <w:rFonts w:hint="eastAsia"/>
                <w:szCs w:val="21"/>
              </w:rPr>
              <w:t xml:space="preserve">     </w:t>
            </w:r>
            <w:r w:rsidR="008F3289" w:rsidRPr="008F3289">
              <w:rPr>
                <w:rFonts w:hint="eastAsia"/>
                <w:szCs w:val="21"/>
              </w:rPr>
              <w:t>持续改进</w:t>
            </w:r>
            <w:r w:rsidR="008F3289" w:rsidRPr="008F3289">
              <w:rPr>
                <w:rFonts w:hint="eastAsia"/>
                <w:szCs w:val="21"/>
              </w:rPr>
              <w:t xml:space="preserve">   </w:t>
            </w:r>
          </w:p>
          <w:p w:rsidR="008F3289" w:rsidRPr="008F3289" w:rsidRDefault="008F3289" w:rsidP="008F3289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遵纪守法</w:t>
            </w:r>
            <w:r w:rsidRPr="008F3289">
              <w:rPr>
                <w:rFonts w:hint="eastAsia"/>
                <w:szCs w:val="21"/>
              </w:rPr>
              <w:t xml:space="preserve">   </w:t>
            </w:r>
            <w:r w:rsidRPr="008F3289">
              <w:rPr>
                <w:rFonts w:hint="eastAsia"/>
                <w:szCs w:val="21"/>
              </w:rPr>
              <w:t>保障员工权利</w:t>
            </w:r>
            <w:r w:rsidRPr="008F3289">
              <w:rPr>
                <w:rFonts w:hint="eastAsia"/>
                <w:szCs w:val="21"/>
              </w:rPr>
              <w:t xml:space="preserve">    </w:t>
            </w:r>
            <w:r w:rsidRPr="008F3289">
              <w:rPr>
                <w:rFonts w:hint="eastAsia"/>
                <w:szCs w:val="21"/>
              </w:rPr>
              <w:t>美化环境</w:t>
            </w: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”。</w:t>
            </w: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管理目标：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szCs w:val="21"/>
              </w:rPr>
            </w:pPr>
            <w:r w:rsidRPr="008F3289">
              <w:rPr>
                <w:rFonts w:hint="eastAsia"/>
                <w:szCs w:val="21"/>
              </w:rPr>
              <w:t>质量目标：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顾客满意度大于</w:t>
            </w:r>
            <w:r w:rsidRPr="008F3289">
              <w:rPr>
                <w:rFonts w:hint="eastAsia"/>
                <w:szCs w:val="21"/>
              </w:rPr>
              <w:t>90</w:t>
            </w:r>
            <w:r w:rsidRPr="008F3289">
              <w:rPr>
                <w:rFonts w:hint="eastAsia"/>
                <w:szCs w:val="21"/>
              </w:rPr>
              <w:t>分</w:t>
            </w:r>
            <w:r w:rsidRPr="008F3289">
              <w:rPr>
                <w:rFonts w:hint="eastAsia"/>
                <w:szCs w:val="21"/>
              </w:rPr>
              <w:t>;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招聘和培训一次合格率达</w:t>
            </w:r>
            <w:r w:rsidRPr="008F3289">
              <w:rPr>
                <w:rFonts w:hint="eastAsia"/>
                <w:szCs w:val="21"/>
              </w:rPr>
              <w:t>95%</w:t>
            </w:r>
            <w:r w:rsidRPr="008F3289">
              <w:rPr>
                <w:rFonts w:hint="eastAsia"/>
                <w:szCs w:val="21"/>
              </w:rPr>
              <w:t>以上；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系统集成调试一次通过率大于</w:t>
            </w:r>
            <w:r w:rsidRPr="008F3289">
              <w:rPr>
                <w:rFonts w:hint="eastAsia"/>
                <w:szCs w:val="21"/>
              </w:rPr>
              <w:t>80%;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建立合格供方，确保采购产品</w:t>
            </w:r>
            <w:r w:rsidRPr="008F3289">
              <w:rPr>
                <w:rFonts w:hint="eastAsia"/>
                <w:szCs w:val="21"/>
              </w:rPr>
              <w:t>100%</w:t>
            </w:r>
            <w:r w:rsidRPr="008F3289">
              <w:rPr>
                <w:rFonts w:hint="eastAsia"/>
                <w:szCs w:val="21"/>
              </w:rPr>
              <w:t>合格；</w:t>
            </w:r>
            <w:bookmarkStart w:id="2" w:name="_GoBack"/>
            <w:bookmarkEnd w:id="2"/>
          </w:p>
          <w:p w:rsidR="008F3289" w:rsidRPr="008F3289" w:rsidRDefault="008F3289" w:rsidP="008F3289">
            <w:pPr>
              <w:pStyle w:val="2"/>
              <w:ind w:firstLineChars="294" w:firstLine="617"/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</w:pPr>
            <w:r w:rsidRPr="008F328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确保与顾客沟通渠道畅通，确保有效合同履约率</w:t>
            </w:r>
            <w:r w:rsidRPr="008F3289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100%</w:t>
            </w:r>
            <w:r w:rsidRPr="008F3289">
              <w:rPr>
                <w:rFonts w:ascii="Times New Roman" w:hAnsi="Times New Roman" w:hint="eastAsia"/>
                <w:b w:val="0"/>
                <w:bCs w:val="0"/>
                <w:sz w:val="21"/>
                <w:szCs w:val="21"/>
              </w:rPr>
              <w:t>；</w:t>
            </w:r>
          </w:p>
          <w:p w:rsidR="008F3289" w:rsidRPr="008F3289" w:rsidRDefault="008F3289" w:rsidP="008F3289">
            <w:pPr>
              <w:spacing w:line="400" w:lineRule="exact"/>
              <w:ind w:left="862"/>
              <w:rPr>
                <w:szCs w:val="21"/>
              </w:rPr>
            </w:pPr>
          </w:p>
          <w:p w:rsidR="008F3289" w:rsidRPr="008F3289" w:rsidRDefault="008F3289" w:rsidP="008F3289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  <w:r w:rsidRPr="008F3289">
              <w:rPr>
                <w:rFonts w:hint="eastAsia"/>
                <w:szCs w:val="21"/>
              </w:rPr>
              <w:t>环境目标：固体废弃物分类处理</w:t>
            </w:r>
            <w:r w:rsidRPr="008F3289">
              <w:rPr>
                <w:rFonts w:hint="eastAsia"/>
                <w:szCs w:val="21"/>
              </w:rPr>
              <w:t>100%</w:t>
            </w:r>
            <w:r w:rsidRPr="008F3289">
              <w:rPr>
                <w:rFonts w:hint="eastAsia"/>
                <w:szCs w:val="21"/>
              </w:rPr>
              <w:t>；</w:t>
            </w:r>
          </w:p>
          <w:p w:rsidR="008F3289" w:rsidRPr="008F3289" w:rsidRDefault="008F3289" w:rsidP="008F3289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8E50C7" w:rsidRPr="00473390" w:rsidRDefault="008F3289" w:rsidP="008F3289">
            <w:pPr>
              <w:tabs>
                <w:tab w:val="right" w:pos="10380"/>
              </w:tabs>
              <w:rPr>
                <w:szCs w:val="21"/>
              </w:rPr>
            </w:pPr>
            <w:r w:rsidRPr="008F3289">
              <w:rPr>
                <w:rFonts w:hint="eastAsia"/>
                <w:szCs w:val="21"/>
              </w:rPr>
              <w:t>职业健康安全目标：火灾事故发生率为零；触电事故发生率为</w:t>
            </w:r>
            <w:r w:rsidRPr="008F3289">
              <w:rPr>
                <w:rFonts w:hint="eastAsia"/>
                <w:szCs w:val="21"/>
              </w:rPr>
              <w:t>0</w:t>
            </w:r>
            <w:r w:rsidR="008E50C7" w:rsidRPr="00473390">
              <w:rPr>
                <w:rFonts w:hint="eastAsia"/>
                <w:szCs w:val="21"/>
              </w:rPr>
              <w:t>。</w:t>
            </w: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szCs w:val="21"/>
              </w:rPr>
              <w:t xml:space="preserve">     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332D97" w:rsidRDefault="0011236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737EFD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 w:rsidR="00737EFD" w:rsidRPr="00C22F34" w:rsidRDefault="00737EFD" w:rsidP="00E14D74">
            <w:pPr>
              <w:rPr>
                <w:szCs w:val="21"/>
              </w:rPr>
            </w:pPr>
            <w:r w:rsidRPr="00C22F34">
              <w:rPr>
                <w:rFonts w:hint="eastAsia"/>
                <w:szCs w:val="21"/>
              </w:rPr>
              <w:t>潜在火灾</w:t>
            </w:r>
            <w:r w:rsidR="00554C63">
              <w:rPr>
                <w:rFonts w:hint="eastAsia"/>
                <w:szCs w:val="21"/>
              </w:rPr>
              <w:t>等。</w:t>
            </w:r>
          </w:p>
          <w:p w:rsidR="00737EFD" w:rsidRPr="00554C63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提</w:t>
            </w:r>
            <w:r w:rsidRPr="00554C63">
              <w:rPr>
                <w:rFonts w:hint="eastAsia"/>
                <w:szCs w:val="21"/>
              </w:rPr>
              <w:t>供了“不可接受风险清单”</w:t>
            </w:r>
            <w:r w:rsidR="00554C63" w:rsidRPr="00554C63">
              <w:rPr>
                <w:rFonts w:hint="eastAsia"/>
                <w:szCs w:val="21"/>
              </w:rPr>
              <w:t>，</w:t>
            </w:r>
          </w:p>
          <w:p w:rsidR="00737EFD" w:rsidRPr="00554C63" w:rsidRDefault="00737EFD" w:rsidP="00554C63">
            <w:pPr>
              <w:pStyle w:val="a6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 w:rsidRPr="00554C63">
              <w:rPr>
                <w:rFonts w:hint="eastAsia"/>
                <w:bCs w:val="0"/>
                <w:spacing w:val="0"/>
                <w:szCs w:val="21"/>
              </w:rPr>
              <w:t>潜在火灾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 w:rsidR="00737EFD" w:rsidRDefault="00EA5ECA" w:rsidP="00E14D74">
            <w:pPr>
              <w:rPr>
                <w:szCs w:val="21"/>
              </w:rPr>
            </w:pPr>
            <w:r>
              <w:rPr>
                <w:szCs w:val="21"/>
              </w:rPr>
              <w:t>以上识别不充分</w:t>
            </w:r>
            <w:r>
              <w:rPr>
                <w:rFonts w:hint="eastAsia"/>
                <w:szCs w:val="21"/>
              </w:rPr>
              <w:t>。</w:t>
            </w:r>
          </w:p>
          <w:p w:rsidR="00EA5ECA" w:rsidRDefault="00EA5ECA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 w:rsidR="00B57748"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</w:t>
            </w:r>
            <w:r w:rsidR="0011236D">
              <w:rPr>
                <w:szCs w:val="21"/>
              </w:rPr>
              <w:t>-</w:t>
            </w:r>
            <w:r w:rsidR="0011236D">
              <w:rPr>
                <w:rFonts w:hint="eastAsia"/>
                <w:szCs w:val="21"/>
              </w:rPr>
              <w:t>6.2</w:t>
            </w:r>
            <w:r w:rsidR="00431B6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szCs w:val="21"/>
              </w:rPr>
              <w:t>2019.</w:t>
            </w:r>
            <w:r w:rsidR="00431B61">
              <w:rPr>
                <w:rFonts w:hint="eastAsia"/>
                <w:szCs w:val="21"/>
              </w:rPr>
              <w:t>6</w:t>
            </w:r>
            <w:r w:rsidR="00431B61">
              <w:rPr>
                <w:szCs w:val="21"/>
              </w:rPr>
              <w:t>.</w:t>
            </w:r>
            <w:r w:rsidR="00431B61">
              <w:rPr>
                <w:rFonts w:hint="eastAsia"/>
                <w:szCs w:val="21"/>
              </w:rPr>
              <w:t>10</w:t>
            </w:r>
            <w:r w:rsidR="00431B6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AC5651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="00737EFD">
              <w:rPr>
                <w:rFonts w:hint="eastAsia"/>
                <w:szCs w:val="21"/>
              </w:rPr>
              <w:t>特种设备</w:t>
            </w:r>
            <w:r w:rsidR="00C10090">
              <w:rPr>
                <w:rFonts w:hint="eastAsia"/>
                <w:szCs w:val="21"/>
              </w:rPr>
              <w:t>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pStyle w:val="a6"/>
              <w:rPr>
                <w:szCs w:val="21"/>
              </w:rPr>
            </w:pPr>
          </w:p>
          <w:p w:rsidR="00EA5ECA" w:rsidRDefault="00EA5ECA" w:rsidP="00E14D74">
            <w:pPr>
              <w:pStyle w:val="a6"/>
              <w:rPr>
                <w:szCs w:val="21"/>
              </w:rPr>
            </w:pPr>
          </w:p>
          <w:p w:rsidR="00737EFD" w:rsidRDefault="00737EFD" w:rsidP="00E14D74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737EFD" w:rsidRDefault="00737EFD" w:rsidP="00E14D74"/>
        </w:tc>
        <w:tc>
          <w:tcPr>
            <w:tcW w:w="993" w:type="dxa"/>
          </w:tcPr>
          <w:p w:rsidR="00737EFD" w:rsidRDefault="00737EFD" w:rsidP="00E14D74"/>
        </w:tc>
      </w:tr>
    </w:tbl>
    <w:p w:rsidR="00737EFD" w:rsidRDefault="00737EFD" w:rsidP="00652A28">
      <w:pPr>
        <w:jc w:val="center"/>
      </w:pPr>
    </w:p>
    <w:p w:rsidR="00737EFD" w:rsidRDefault="00737EFD" w:rsidP="00652A28">
      <w:pPr>
        <w:jc w:val="center"/>
      </w:pPr>
    </w:p>
    <w:p w:rsidR="00737EFD" w:rsidRDefault="00737EFD"/>
    <w:p w:rsidR="00737EFD" w:rsidRDefault="00737EFD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737EFD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30" w:rsidRDefault="00CF3F30" w:rsidP="005A0A55">
      <w:r>
        <w:separator/>
      </w:r>
    </w:p>
  </w:endnote>
  <w:endnote w:type="continuationSeparator" w:id="0">
    <w:p w:rsidR="00CF3F30" w:rsidRDefault="00CF3F30" w:rsidP="005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Default="00737EF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F3289"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F3289">
      <w:rPr>
        <w:b/>
        <w:noProof/>
      </w:rPr>
      <w:t>3</w:t>
    </w:r>
    <w:r>
      <w:rPr>
        <w:b/>
      </w:rPr>
      <w:fldChar w:fldCharType="end"/>
    </w:r>
  </w:p>
  <w:p w:rsidR="00737EFD" w:rsidRDefault="00737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30" w:rsidRDefault="00CF3F30" w:rsidP="005A0A55">
      <w:r>
        <w:separator/>
      </w:r>
    </w:p>
  </w:footnote>
  <w:footnote w:type="continuationSeparator" w:id="0">
    <w:p w:rsidR="00CF3F30" w:rsidRDefault="00CF3F30" w:rsidP="005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Pr="00390345" w:rsidRDefault="00CF3F30" w:rsidP="00A56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37EFD" w:rsidRPr="00390345">
      <w:rPr>
        <w:rStyle w:val="CharChar1"/>
        <w:rFonts w:hint="eastAsia"/>
      </w:rPr>
      <w:t>北京国标联合认证有限公司</w:t>
    </w:r>
    <w:r w:rsidR="00737EFD" w:rsidRPr="00390345">
      <w:rPr>
        <w:rStyle w:val="CharChar1"/>
      </w:rPr>
      <w:tab/>
    </w:r>
    <w:r w:rsidR="00737EFD" w:rsidRPr="00390345">
      <w:rPr>
        <w:rStyle w:val="CharChar1"/>
      </w:rPr>
      <w:tab/>
    </w:r>
    <w:r w:rsidR="00737EFD">
      <w:rPr>
        <w:rStyle w:val="CharChar1"/>
      </w:rPr>
      <w:tab/>
    </w:r>
  </w:p>
  <w:p w:rsidR="00737EFD" w:rsidRDefault="00CF3F30" w:rsidP="00A5678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1" stroked="f">
          <v:textbox>
            <w:txbxContent>
              <w:p w:rsidR="00737EFD" w:rsidRPr="000B51BD" w:rsidRDefault="00737EFD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EFD" w:rsidRPr="00390345">
      <w:rPr>
        <w:rStyle w:val="CharChar1"/>
        <w:w w:val="90"/>
      </w:rPr>
      <w:t>Beijing International Standard united Certification Co.,Ltd.</w:t>
    </w:r>
  </w:p>
  <w:p w:rsidR="00737EFD" w:rsidRDefault="00737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58"/>
        </w:tabs>
        <w:ind w:left="1258" w:hanging="42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20"/>
      </w:p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>
      <w:start w:val="1"/>
      <w:numFmt w:val="lowerLetter"/>
      <w:lvlText w:val="%5)"/>
      <w:lvlJc w:val="left"/>
      <w:pPr>
        <w:tabs>
          <w:tab w:val="num" w:pos="2518"/>
        </w:tabs>
        <w:ind w:left="2518" w:hanging="420"/>
      </w:pPr>
    </w:lvl>
    <w:lvl w:ilvl="5">
      <w:start w:val="1"/>
      <w:numFmt w:val="lowerRoman"/>
      <w:lvlText w:val="%6."/>
      <w:lvlJc w:val="right"/>
      <w:pPr>
        <w:tabs>
          <w:tab w:val="num" w:pos="2938"/>
        </w:tabs>
        <w:ind w:left="2938" w:hanging="42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>
      <w:start w:val="1"/>
      <w:numFmt w:val="lowerLetter"/>
      <w:lvlText w:val="%8)"/>
      <w:lvlJc w:val="left"/>
      <w:pPr>
        <w:tabs>
          <w:tab w:val="num" w:pos="3778"/>
        </w:tabs>
        <w:ind w:left="3778" w:hanging="420"/>
      </w:pPr>
    </w:lvl>
    <w:lvl w:ilvl="8">
      <w:start w:val="1"/>
      <w:numFmt w:val="lowerRoman"/>
      <w:lvlText w:val="%9."/>
      <w:lvlJc w:val="right"/>
      <w:pPr>
        <w:tabs>
          <w:tab w:val="num" w:pos="4198"/>
        </w:tabs>
        <w:ind w:left="4198" w:hanging="420"/>
      </w:pPr>
    </w:lvl>
  </w:abstractNum>
  <w:abstractNum w:abstractNumId="1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2A8F1B9"/>
    <w:multiLevelType w:val="singleLevel"/>
    <w:tmpl w:val="52A8F1B9"/>
    <w:lvl w:ilvl="0">
      <w:start w:val="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5"/>
    <w:rsid w:val="000154C8"/>
    <w:rsid w:val="0001766F"/>
    <w:rsid w:val="00023D11"/>
    <w:rsid w:val="0003373A"/>
    <w:rsid w:val="00040963"/>
    <w:rsid w:val="00040B86"/>
    <w:rsid w:val="000430AD"/>
    <w:rsid w:val="000806AB"/>
    <w:rsid w:val="00084AFE"/>
    <w:rsid w:val="0008763D"/>
    <w:rsid w:val="000A21D2"/>
    <w:rsid w:val="000A434A"/>
    <w:rsid w:val="000B51BD"/>
    <w:rsid w:val="000C3135"/>
    <w:rsid w:val="000D4CD5"/>
    <w:rsid w:val="000D59C3"/>
    <w:rsid w:val="000E6E75"/>
    <w:rsid w:val="000E7E79"/>
    <w:rsid w:val="0011236D"/>
    <w:rsid w:val="00127554"/>
    <w:rsid w:val="00135DC3"/>
    <w:rsid w:val="0015111B"/>
    <w:rsid w:val="001870EA"/>
    <w:rsid w:val="001D6332"/>
    <w:rsid w:val="0020151D"/>
    <w:rsid w:val="00207A6A"/>
    <w:rsid w:val="002115CE"/>
    <w:rsid w:val="00236070"/>
    <w:rsid w:val="00244053"/>
    <w:rsid w:val="00273ECC"/>
    <w:rsid w:val="00283D22"/>
    <w:rsid w:val="002961F0"/>
    <w:rsid w:val="002B18AC"/>
    <w:rsid w:val="002B27FB"/>
    <w:rsid w:val="002B7EEE"/>
    <w:rsid w:val="00300277"/>
    <w:rsid w:val="00332D97"/>
    <w:rsid w:val="003423D8"/>
    <w:rsid w:val="00390345"/>
    <w:rsid w:val="003A1BB9"/>
    <w:rsid w:val="003B4D0F"/>
    <w:rsid w:val="003C3DEE"/>
    <w:rsid w:val="003F3867"/>
    <w:rsid w:val="004047AF"/>
    <w:rsid w:val="00407E5C"/>
    <w:rsid w:val="00420186"/>
    <w:rsid w:val="004211BA"/>
    <w:rsid w:val="004238BA"/>
    <w:rsid w:val="00431851"/>
    <w:rsid w:val="00431B61"/>
    <w:rsid w:val="00470AB6"/>
    <w:rsid w:val="00473390"/>
    <w:rsid w:val="00474273"/>
    <w:rsid w:val="00491526"/>
    <w:rsid w:val="00495D3A"/>
    <w:rsid w:val="004978F4"/>
    <w:rsid w:val="004A564E"/>
    <w:rsid w:val="004C6BDB"/>
    <w:rsid w:val="004D335D"/>
    <w:rsid w:val="004E08FA"/>
    <w:rsid w:val="004E2167"/>
    <w:rsid w:val="004F0E5B"/>
    <w:rsid w:val="004F4BA6"/>
    <w:rsid w:val="0054444F"/>
    <w:rsid w:val="00554C63"/>
    <w:rsid w:val="00560705"/>
    <w:rsid w:val="00571BF6"/>
    <w:rsid w:val="0057467B"/>
    <w:rsid w:val="005A0A55"/>
    <w:rsid w:val="005A3C71"/>
    <w:rsid w:val="005B4A20"/>
    <w:rsid w:val="005C49C4"/>
    <w:rsid w:val="005F4BD1"/>
    <w:rsid w:val="00610CCF"/>
    <w:rsid w:val="00622035"/>
    <w:rsid w:val="00631159"/>
    <w:rsid w:val="00652A28"/>
    <w:rsid w:val="006657A4"/>
    <w:rsid w:val="006E42FB"/>
    <w:rsid w:val="006F79B3"/>
    <w:rsid w:val="00737EFD"/>
    <w:rsid w:val="00766787"/>
    <w:rsid w:val="007757F3"/>
    <w:rsid w:val="007807D9"/>
    <w:rsid w:val="00787691"/>
    <w:rsid w:val="007D7CED"/>
    <w:rsid w:val="007F4540"/>
    <w:rsid w:val="00800195"/>
    <w:rsid w:val="00805DAC"/>
    <w:rsid w:val="00822269"/>
    <w:rsid w:val="00824194"/>
    <w:rsid w:val="008457A9"/>
    <w:rsid w:val="0085165F"/>
    <w:rsid w:val="00871C15"/>
    <w:rsid w:val="008766EC"/>
    <w:rsid w:val="008973EE"/>
    <w:rsid w:val="008A7C30"/>
    <w:rsid w:val="008B434D"/>
    <w:rsid w:val="008D7BE9"/>
    <w:rsid w:val="008E50C7"/>
    <w:rsid w:val="008F3289"/>
    <w:rsid w:val="009158BC"/>
    <w:rsid w:val="00951B02"/>
    <w:rsid w:val="009570B1"/>
    <w:rsid w:val="00971385"/>
    <w:rsid w:val="009B7A35"/>
    <w:rsid w:val="009D7E58"/>
    <w:rsid w:val="009E03C9"/>
    <w:rsid w:val="00A062C3"/>
    <w:rsid w:val="00A56783"/>
    <w:rsid w:val="00A8295E"/>
    <w:rsid w:val="00AC16CB"/>
    <w:rsid w:val="00AC5651"/>
    <w:rsid w:val="00B03FF2"/>
    <w:rsid w:val="00B429BB"/>
    <w:rsid w:val="00B56E77"/>
    <w:rsid w:val="00B57748"/>
    <w:rsid w:val="00B65520"/>
    <w:rsid w:val="00B6648C"/>
    <w:rsid w:val="00B71CFA"/>
    <w:rsid w:val="00B8497A"/>
    <w:rsid w:val="00BB1088"/>
    <w:rsid w:val="00BB2934"/>
    <w:rsid w:val="00BC3D48"/>
    <w:rsid w:val="00C10090"/>
    <w:rsid w:val="00C22F34"/>
    <w:rsid w:val="00C27293"/>
    <w:rsid w:val="00C425C2"/>
    <w:rsid w:val="00C819D2"/>
    <w:rsid w:val="00C841D9"/>
    <w:rsid w:val="00C9796D"/>
    <w:rsid w:val="00CA0112"/>
    <w:rsid w:val="00CA303E"/>
    <w:rsid w:val="00CF14B8"/>
    <w:rsid w:val="00CF3F30"/>
    <w:rsid w:val="00D23F98"/>
    <w:rsid w:val="00D3311B"/>
    <w:rsid w:val="00DB42AB"/>
    <w:rsid w:val="00DC78FD"/>
    <w:rsid w:val="00DD3069"/>
    <w:rsid w:val="00E14D74"/>
    <w:rsid w:val="00E16D72"/>
    <w:rsid w:val="00E42CF9"/>
    <w:rsid w:val="00E42E03"/>
    <w:rsid w:val="00E4362C"/>
    <w:rsid w:val="00E657F6"/>
    <w:rsid w:val="00E6620C"/>
    <w:rsid w:val="00EA06E5"/>
    <w:rsid w:val="00EA5ECA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8F328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  <w:style w:type="character" w:customStyle="1" w:styleId="2Char">
    <w:name w:val="标题 2 Char"/>
    <w:link w:val="2"/>
    <w:uiPriority w:val="9"/>
    <w:semiHidden/>
    <w:rsid w:val="008F3289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122</cp:revision>
  <dcterms:created xsi:type="dcterms:W3CDTF">2015-06-17T12:51:00Z</dcterms:created>
  <dcterms:modified xsi:type="dcterms:W3CDTF">2019-10-28T03:10:00Z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