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bookmarkStart w:id="22" w:name="_GoBack"/>
      <w:bookmarkEnd w:id="22"/>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烟台华茂电子有限公司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烟台华茂电子有限公司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烟台经济技术开发区华山路22号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264006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烟台经济技术开发区华山路22号一栋二楼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264006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王静静</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0535-6386268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林园</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王静静</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电子产品（石英谐振器）的销售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29.09.02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2020-12-08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b/>
                <w:color w:val="000000" w:themeColor="text1"/>
                <w:sz w:val="20"/>
                <w:szCs w:val="20"/>
              </w:rPr>
            </w:pPr>
            <w:r>
              <w:rPr>
                <w:rFonts w:ascii="宋体" w:hAnsi="宋体"/>
                <w:b/>
                <w:color w:val="000000" w:themeColor="text1"/>
                <w:sz w:val="20"/>
                <w:szCs w:val="20"/>
              </w:rPr>
              <w:t>烟台经济技术开发区华山路22号一栋二楼</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bCs w:val="0"/>
                <w:color w:val="000000" w:themeColor="text1"/>
                <w:kern w:val="2"/>
                <w:sz w:val="20"/>
                <w:szCs w:val="20"/>
                <w:lang w:val="en-US" w:eastAsia="zh-CN" w:bidi="ar-SA"/>
              </w:rPr>
            </w:pPr>
            <w:r>
              <w:rPr>
                <w:rFonts w:hint="eastAsia" w:ascii="宋体" w:hAnsi="宋体" w:eastAsia="宋体" w:cs="Times New Roman"/>
                <w:b/>
                <w:bCs w:val="0"/>
                <w:color w:val="000000"/>
                <w:sz w:val="20"/>
                <w:szCs w:val="20"/>
                <w:lang w:val="en-US" w:eastAsia="zh-CN"/>
              </w:rPr>
              <w:t>高管层</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default" w:ascii="宋体" w:hAnsi="宋体" w:eastAsia="宋体" w:cs="Times New Roman"/>
                <w:b/>
                <w:bCs w:val="0"/>
                <w:color w:val="000000" w:themeColor="text1"/>
                <w:kern w:val="2"/>
                <w:sz w:val="20"/>
                <w:szCs w:val="20"/>
                <w:lang w:val="en-US" w:eastAsia="zh-CN" w:bidi="ar-SA"/>
              </w:rPr>
            </w:pPr>
            <w:r>
              <w:rPr>
                <w:rFonts w:hint="eastAsia" w:ascii="宋体" w:hAnsi="宋体"/>
                <w:b/>
                <w:bCs w:val="0"/>
                <w:color w:val="000000"/>
                <w:sz w:val="20"/>
                <w:szCs w:val="20"/>
                <w:lang w:val="en-US" w:eastAsia="zh-CN"/>
              </w:rPr>
              <w:t>行政部</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方针、目标管理；</w:t>
            </w:r>
            <w:r>
              <w:rPr>
                <w:rFonts w:ascii="宋体" w:hAnsi="宋体"/>
                <w:b/>
                <w:bCs w:val="0"/>
                <w:color w:val="000000" w:themeColor="text1"/>
                <w:sz w:val="21"/>
                <w:szCs w:val="21"/>
              </w:rPr>
              <w:t>设备管理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文件、记录控制程；内审管理；人员、部门职能职责和权限；风险识别评价管理；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bCs w:val="0"/>
                <w:color w:val="000000" w:themeColor="text1"/>
                <w:kern w:val="2"/>
                <w:sz w:val="20"/>
                <w:szCs w:val="20"/>
                <w:lang w:val="en-US" w:eastAsia="zh-CN" w:bidi="ar-SA"/>
              </w:rPr>
            </w:pPr>
            <w:r>
              <w:rPr>
                <w:rFonts w:hint="eastAsia" w:ascii="宋体" w:hAnsi="宋体"/>
                <w:b/>
                <w:bCs w:val="0"/>
                <w:color w:val="000000"/>
                <w:sz w:val="20"/>
                <w:szCs w:val="20"/>
                <w:lang w:val="en-US" w:eastAsia="zh-CN"/>
              </w:rPr>
              <w:t>销售部</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spacing w:val="-20"/>
                <w:sz w:val="21"/>
                <w:szCs w:val="21"/>
                <w:lang w:val="en-US" w:eastAsia="zh-CN"/>
              </w:rPr>
              <w:t>销售过程策划、合同管理、</w:t>
            </w:r>
            <w:r>
              <w:rPr>
                <w:rFonts w:hint="eastAsia" w:ascii="宋体" w:hAnsi="宋体"/>
                <w:b/>
                <w:bCs w:val="0"/>
                <w:color w:val="000000" w:themeColor="text1"/>
                <w:sz w:val="21"/>
                <w:szCs w:val="21"/>
              </w:rPr>
              <w:t>采购过程相关等过程</w:t>
            </w:r>
            <w:r>
              <w:rPr>
                <w:rFonts w:hint="eastAsia" w:ascii="宋体" w:hAnsi="宋体"/>
                <w:b/>
                <w:bCs w:val="0"/>
                <w:color w:val="000000" w:themeColor="text1"/>
                <w:sz w:val="21"/>
                <w:szCs w:val="21"/>
                <w:lang w:eastAsia="zh-CN"/>
              </w:rPr>
              <w:t>，</w:t>
            </w:r>
            <w:r>
              <w:rPr>
                <w:rFonts w:hint="eastAsia" w:ascii="宋体" w:hAnsi="宋体"/>
                <w:b/>
                <w:bCs w:val="0"/>
                <w:color w:val="000000"/>
                <w:spacing w:val="-20"/>
                <w:sz w:val="21"/>
                <w:szCs w:val="21"/>
                <w:lang w:val="en-US" w:eastAsia="zh-CN"/>
              </w:rPr>
              <w:t>销售服务</w:t>
            </w:r>
            <w:r>
              <w:rPr>
                <w:rFonts w:ascii="宋体" w:hAnsi="宋体"/>
                <w:b/>
                <w:bCs w:val="0"/>
                <w:color w:val="000000" w:themeColor="text1"/>
                <w:sz w:val="21"/>
                <w:szCs w:val="21"/>
              </w:rPr>
              <w:t>过程管理</w:t>
            </w:r>
            <w:r>
              <w:rPr>
                <w:rFonts w:hint="eastAsia" w:ascii="宋体" w:hAnsi="宋体"/>
                <w:b/>
                <w:bCs w:val="0"/>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售后部</w:t>
            </w:r>
          </w:p>
        </w:tc>
        <w:tc>
          <w:tcPr>
            <w:tcW w:w="6804" w:type="dxa"/>
          </w:tcPr>
          <w:p>
            <w:pPr>
              <w:jc w:val="left"/>
              <w:rPr>
                <w:rFonts w:hint="default" w:ascii="宋体" w:hAnsi="宋体" w:eastAsia="宋体"/>
                <w:b/>
                <w:color w:val="000000" w:themeColor="text1"/>
                <w:spacing w:val="-20"/>
                <w:sz w:val="20"/>
                <w:szCs w:val="20"/>
                <w:u w:val="single"/>
                <w:lang w:val="en-US" w:eastAsia="zh-CN"/>
              </w:rPr>
            </w:pPr>
            <w:r>
              <w:rPr>
                <w:rFonts w:hint="eastAsia" w:ascii="宋体" w:hAnsi="宋体"/>
                <w:b/>
                <w:bCs w:val="0"/>
                <w:color w:val="000000" w:themeColor="text1"/>
                <w:sz w:val="21"/>
                <w:szCs w:val="21"/>
                <w:lang w:val="en-US" w:eastAsia="zh-CN"/>
              </w:rPr>
              <w:t>放行过程管理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不合格品控制</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lang w:val="en-US" w:eastAsia="zh-CN"/>
              </w:rPr>
              <w:t>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rPr>
            </w:pPr>
            <w:r>
              <w:t>1、</w:t>
            </w:r>
            <w:r>
              <w:rPr>
                <w:rFonts w:hint="eastAsia"/>
              </w:rPr>
              <w:t>组织及其环境的识别情况</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烟台华茂电子有限公司</w:t>
            </w:r>
            <w:r>
              <w:rPr>
                <w:rFonts w:hint="eastAsia" w:ascii="宋体" w:hAnsi="宋体" w:eastAsia="宋体" w:cs="宋体"/>
                <w:sz w:val="21"/>
                <w:szCs w:val="21"/>
              </w:rPr>
              <w:t>，成立于20</w:t>
            </w:r>
            <w:r>
              <w:rPr>
                <w:rFonts w:hint="eastAsia" w:ascii="宋体" w:hAnsi="宋体" w:cs="宋体"/>
                <w:sz w:val="21"/>
                <w:szCs w:val="21"/>
                <w:lang w:val="en-US" w:eastAsia="zh-CN"/>
              </w:rPr>
              <w:t>03</w:t>
            </w:r>
            <w:r>
              <w:rPr>
                <w:rFonts w:hint="eastAsia" w:ascii="宋体" w:hAnsi="宋体" w:eastAsia="宋体" w:cs="宋体"/>
                <w:sz w:val="21"/>
                <w:szCs w:val="21"/>
              </w:rPr>
              <w:t>年，法人代表</w:t>
            </w:r>
            <w:r>
              <w:rPr>
                <w:rFonts w:hint="eastAsia" w:ascii="宋体" w:hAnsi="宋体" w:cs="宋体"/>
                <w:sz w:val="21"/>
                <w:szCs w:val="21"/>
                <w:lang w:eastAsia="zh-CN"/>
              </w:rPr>
              <w:t>林园</w:t>
            </w:r>
            <w:r>
              <w:rPr>
                <w:rFonts w:hint="eastAsia" w:ascii="宋体" w:hAnsi="宋体" w:eastAsia="宋体" w:cs="宋体"/>
                <w:sz w:val="21"/>
                <w:szCs w:val="21"/>
              </w:rPr>
              <w:t>，注册地址：烟台经济技术开发区华山路22号；经营地址：烟台经济技术开发区华山路22号一栋二楼。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目前主要从事</w:t>
            </w:r>
            <w:r>
              <w:rPr>
                <w:rFonts w:hint="eastAsia" w:ascii="宋体" w:hAnsi="宋体" w:cs="宋体"/>
                <w:sz w:val="21"/>
                <w:szCs w:val="21"/>
                <w:lang w:val="en-US" w:eastAsia="zh-CN"/>
              </w:rPr>
              <w:t>电子产品（石英谐振器）的销售</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行政部、销售部、售后部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pStyle w:val="3"/>
              <w:ind w:left="480" w:leftChars="0"/>
              <w:rPr>
                <w:b/>
                <w:color w:val="000000" w:themeColor="text1"/>
                <w:sz w:val="20"/>
                <w:szCs w:val="20"/>
              </w:rPr>
            </w:pPr>
            <w:r>
              <w:rPr>
                <w:rFonts w:hint="eastAsia" w:ascii="宋体" w:hAnsi="宋体" w:eastAsia="宋体" w:cs="宋体"/>
                <w:kern w:val="2"/>
                <w:sz w:val="21"/>
                <w:szCs w:val="21"/>
                <w:lang w:val="en-US" w:eastAsia="zh-CN" w:bidi="ar-SA"/>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rPr>
                <w:rFonts w:hint="eastAsia"/>
                <w:b w:val="0"/>
                <w:bCs/>
                <w:color w:val="000000" w:themeColor="text1"/>
                <w:sz w:val="20"/>
                <w:szCs w:val="20"/>
              </w:rPr>
            </w:pPr>
            <w:r>
              <w:rPr>
                <w:rFonts w:hint="eastAsia"/>
                <w:b w:val="0"/>
                <w:bCs/>
                <w:color w:val="000000" w:themeColor="text1"/>
                <w:sz w:val="20"/>
                <w:szCs w:val="20"/>
              </w:rPr>
              <w:t>公司识别并确定了利益相关方：顾客、外部供应商、员工及其他为本公司工作的人员或组织等。</w:t>
            </w:r>
          </w:p>
          <w:p>
            <w:pPr>
              <w:spacing w:line="360" w:lineRule="auto"/>
              <w:rPr>
                <w:b/>
                <w:color w:val="000000" w:themeColor="text1"/>
                <w:sz w:val="20"/>
                <w:szCs w:val="20"/>
              </w:rPr>
            </w:pPr>
            <w:r>
              <w:rPr>
                <w:rFonts w:hint="eastAsia"/>
                <w:b w:val="0"/>
                <w:bCs/>
                <w:color w:val="000000" w:themeColor="text1"/>
                <w:sz w:val="20"/>
                <w:szCs w:val="20"/>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w:t>
            </w:r>
            <w:r>
              <w:rPr>
                <w:rFonts w:hint="eastAsia" w:ascii="宋体" w:hAnsi="宋体"/>
                <w:color w:val="000000" w:themeColor="text1"/>
                <w:lang w:val="en-US" w:eastAsia="zh-CN"/>
              </w:rPr>
              <w:t>质量</w:t>
            </w:r>
            <w:r>
              <w:rPr>
                <w:rFonts w:hint="eastAsia" w:ascii="宋体" w:hAnsi="宋体"/>
                <w:color w:val="000000" w:themeColor="text1"/>
              </w:rPr>
              <w:t>方针：</w:t>
            </w:r>
            <w:r>
              <w:rPr>
                <w:rFonts w:hint="eastAsia" w:ascii="宋体" w:hAnsi="宋体" w:eastAsia="宋体" w:cs="Times New Roman"/>
                <w:szCs w:val="21"/>
                <w:lang w:eastAsia="zh-CN"/>
              </w:rPr>
              <w:t>优质服务, 客户第一，持续改进，勇攀一流。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360" w:lineRule="auto"/>
              <w:ind w:left="0" w:leftChars="0" w:firstLine="0" w:firstLineChars="0"/>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质量管理体系过程有：</w:t>
            </w:r>
            <w:r>
              <w:rPr>
                <w:rFonts w:hint="eastAsia" w:ascii="宋体" w:hAnsi="宋体" w:cs="Times New Roman"/>
                <w:b/>
                <w:color w:val="auto"/>
                <w:sz w:val="20"/>
                <w:szCs w:val="20"/>
                <w:lang w:val="en-US" w:eastAsia="zh-CN"/>
              </w:rPr>
              <w:t xml:space="preserve">销售服务过程 </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lang w:val="en-US" w:eastAsia="zh-CN"/>
              </w:rPr>
              <w:t>无</w:t>
            </w:r>
            <w:r>
              <w:rPr>
                <w:rFonts w:hint="eastAsia" w:ascii="宋体" w:hAnsi="宋体"/>
                <w:b/>
                <w:color w:val="auto"/>
                <w:sz w:val="20"/>
                <w:szCs w:val="20"/>
                <w:u w:val="single"/>
                <w:lang w:eastAsia="zh-CN"/>
              </w:rPr>
              <w:t>，</w:t>
            </w:r>
          </w:p>
          <w:p>
            <w:pPr>
              <w:tabs>
                <w:tab w:val="left" w:pos="540"/>
              </w:tabs>
              <w:spacing w:line="360" w:lineRule="auto"/>
              <w:ind w:left="201" w:hanging="201" w:hangingChars="100"/>
              <w:rPr>
                <w:rFonts w:hint="default" w:ascii="宋体" w:hAnsi="宋体"/>
                <w:b/>
                <w:color w:val="auto"/>
                <w:sz w:val="20"/>
                <w:szCs w:val="20"/>
                <w:u w:val="single"/>
                <w:lang w:val="en-US"/>
              </w:rPr>
            </w:pPr>
            <w:r>
              <w:rPr>
                <w:rFonts w:hint="eastAsia" w:ascii="宋体" w:hAnsi="宋体"/>
                <w:b/>
                <w:color w:val="auto"/>
                <w:sz w:val="20"/>
                <w:szCs w:val="20"/>
              </w:rPr>
              <w:t xml:space="preserve">需要确认过程  </w:t>
            </w:r>
            <w:r>
              <w:rPr>
                <w:rFonts w:hint="eastAsia" w:ascii="宋体" w:hAnsi="宋体"/>
                <w:b/>
                <w:color w:val="auto"/>
                <w:sz w:val="20"/>
                <w:szCs w:val="20"/>
                <w:u w:val="single"/>
                <w:lang w:val="en-US" w:eastAsia="zh-CN"/>
              </w:rPr>
              <w:t>销售服务过程</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 xml:space="preserve">不适用条款是  </w:t>
            </w:r>
            <w:r>
              <w:rPr>
                <w:rFonts w:hint="eastAsia" w:ascii="宋体" w:hAnsi="宋体"/>
                <w:b/>
                <w:color w:val="auto"/>
                <w:sz w:val="20"/>
                <w:szCs w:val="20"/>
                <w:u w:val="single"/>
                <w:lang w:val="en-US" w:eastAsia="zh-CN"/>
              </w:rPr>
              <w:t>8.3</w:t>
            </w:r>
            <w:r>
              <w:rPr>
                <w:rFonts w:hint="eastAsia" w:ascii="宋体" w:hAnsi="宋体"/>
                <w:b/>
                <w:color w:val="auto"/>
                <w:sz w:val="20"/>
                <w:szCs w:val="20"/>
              </w:rPr>
              <w:t xml:space="preserve"> ，不适用理由： </w:t>
            </w:r>
            <w:r>
              <w:rPr>
                <w:rFonts w:hint="default" w:ascii="Times New Roman" w:hAnsi="Times New Roman" w:eastAsia="宋体" w:cs="Times New Roman"/>
                <w:sz w:val="21"/>
                <w:szCs w:val="21"/>
              </w:rPr>
              <w:t>企业涉及电子产品（石英谐振器）的销售，不适用故GB/T19001-2016标准中8.3“产品和服务的设计和开发”条款的要求。不影响组织确保其产品和服务合格的能力或责任，对增强顾客满意也不会产生影响。</w:t>
            </w:r>
          </w:p>
          <w:p>
            <w:pPr>
              <w:tabs>
                <w:tab w:val="left" w:pos="540"/>
              </w:tabs>
              <w:spacing w:line="300" w:lineRule="exact"/>
              <w:ind w:left="211" w:leftChars="0"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eastAsia="宋体" w:cs="宋体"/>
                <w:szCs w:val="22"/>
              </w:rPr>
            </w:pPr>
            <w:r>
              <w:rPr>
                <w:rFonts w:hint="eastAsia" w:ascii="宋体" w:hAnsi="宋体" w:eastAsia="宋体" w:cs="宋体"/>
                <w:szCs w:val="22"/>
              </w:rPr>
              <w:t>公司质量目标：</w:t>
            </w:r>
          </w:p>
          <w:p>
            <w:pPr>
              <w:spacing w:line="360" w:lineRule="auto"/>
              <w:rPr>
                <w:rFonts w:hint="eastAsia" w:ascii="宋体" w:hAnsi="宋体" w:eastAsia="宋体" w:cs="宋体"/>
                <w:szCs w:val="22"/>
              </w:rPr>
            </w:pPr>
            <w:r>
              <w:rPr>
                <w:rFonts w:hint="eastAsia" w:ascii="宋体" w:hAnsi="宋体" w:eastAsia="宋体" w:cs="宋体"/>
                <w:szCs w:val="22"/>
              </w:rPr>
              <w:t>顾客满意度≧92%</w:t>
            </w:r>
          </w:p>
          <w:p>
            <w:pPr>
              <w:spacing w:line="360" w:lineRule="auto"/>
              <w:rPr>
                <w:rFonts w:hint="eastAsia" w:ascii="宋体" w:hAnsi="宋体" w:eastAsia="宋体" w:cs="宋体"/>
                <w:szCs w:val="22"/>
              </w:rPr>
            </w:pPr>
            <w:r>
              <w:rPr>
                <w:rFonts w:hint="eastAsia" w:ascii="宋体" w:hAnsi="宋体" w:eastAsia="宋体" w:cs="宋体"/>
                <w:szCs w:val="22"/>
              </w:rPr>
              <w:t>部门质量目标：</w:t>
            </w:r>
          </w:p>
          <w:p>
            <w:pPr>
              <w:spacing w:line="360" w:lineRule="auto"/>
              <w:rPr>
                <w:rFonts w:hint="eastAsia" w:ascii="宋体" w:hAnsi="宋体" w:eastAsia="宋体" w:cs="宋体"/>
                <w:szCs w:val="22"/>
              </w:rPr>
            </w:pPr>
            <w:r>
              <w:rPr>
                <w:rFonts w:hint="eastAsia" w:ascii="宋体" w:hAnsi="宋体" w:eastAsia="宋体" w:cs="宋体"/>
                <w:szCs w:val="22"/>
              </w:rPr>
              <w:t xml:space="preserve">售后部：客户投诉处理率≧95% </w:t>
            </w:r>
          </w:p>
          <w:p>
            <w:pPr>
              <w:spacing w:line="360" w:lineRule="auto"/>
              <w:rPr>
                <w:rFonts w:hint="eastAsia" w:ascii="宋体" w:hAnsi="宋体" w:eastAsia="宋体" w:cs="宋体"/>
                <w:szCs w:val="22"/>
              </w:rPr>
            </w:pPr>
            <w:r>
              <w:rPr>
                <w:rFonts w:hint="eastAsia" w:ascii="宋体" w:hAnsi="宋体" w:eastAsia="宋体" w:cs="宋体"/>
                <w:szCs w:val="22"/>
              </w:rPr>
              <w:t xml:space="preserve">行政部：培训合格率≧100% </w:t>
            </w:r>
          </w:p>
          <w:p>
            <w:pPr>
              <w:spacing w:line="360" w:lineRule="auto"/>
              <w:rPr>
                <w:rFonts w:hint="eastAsia" w:ascii="宋体" w:hAnsi="宋体" w:eastAsia="宋体" w:cs="宋体"/>
                <w:szCs w:val="22"/>
              </w:rPr>
            </w:pPr>
            <w:r>
              <w:rPr>
                <w:rFonts w:hint="eastAsia" w:ascii="宋体" w:hAnsi="宋体" w:eastAsia="宋体" w:cs="宋体"/>
                <w:szCs w:val="22"/>
              </w:rPr>
              <w:t xml:space="preserve">销售部：产品合格率≧95% </w:t>
            </w:r>
          </w:p>
          <w:p>
            <w:pPr>
              <w:spacing w:line="360" w:lineRule="auto"/>
              <w:rPr>
                <w:rFonts w:ascii="宋体" w:hAnsi="宋体"/>
                <w:b/>
                <w:color w:val="000000" w:themeColor="text1"/>
              </w:rPr>
            </w:pPr>
            <w:r>
              <w:rPr>
                <w:rFonts w:hint="eastAsia" w:ascii="宋体" w:hAnsi="宋体" w:eastAsia="宋体" w:cs="宋体"/>
                <w:szCs w:val="22"/>
              </w:rPr>
              <w:t>交货准时率≧91%提供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公司按照申请认证的标准要求，建立并形成了文件化的质量管理体系文件，体系文件对管理体系各过程进行了识别确定、明确了各要素间的相互关系及其管控要求。公司体系文件于2020年</w:t>
            </w:r>
            <w:r>
              <w:rPr>
                <w:rFonts w:hint="eastAsia" w:ascii="宋体" w:hAnsi="宋体"/>
                <w:b w:val="0"/>
                <w:bCs/>
                <w:color w:val="000000" w:themeColor="text1"/>
                <w:sz w:val="20"/>
                <w:szCs w:val="20"/>
                <w:lang w:val="en-US" w:eastAsia="zh-CN"/>
              </w:rPr>
              <w:t>12</w:t>
            </w:r>
            <w:r>
              <w:rPr>
                <w:rFonts w:hint="eastAsia" w:ascii="宋体" w:hAnsi="宋体"/>
                <w:b w:val="0"/>
                <w:bCs/>
                <w:color w:val="000000" w:themeColor="text1"/>
                <w:sz w:val="20"/>
                <w:szCs w:val="20"/>
              </w:rPr>
              <w:t>月</w:t>
            </w:r>
            <w:r>
              <w:rPr>
                <w:rFonts w:hint="eastAsia" w:ascii="宋体" w:hAnsi="宋体"/>
                <w:b w:val="0"/>
                <w:bCs/>
                <w:color w:val="000000" w:themeColor="text1"/>
                <w:sz w:val="20"/>
                <w:szCs w:val="20"/>
                <w:lang w:val="en-US" w:eastAsia="zh-CN"/>
              </w:rPr>
              <w:t>8</w:t>
            </w:r>
            <w:r>
              <w:rPr>
                <w:rFonts w:hint="eastAsia" w:ascii="宋体" w:hAnsi="宋体"/>
                <w:b w:val="0"/>
                <w:bCs/>
                <w:color w:val="000000" w:themeColor="text1"/>
                <w:sz w:val="20"/>
                <w:szCs w:val="20"/>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lang w:val="en-US" w:eastAsia="zh-CN"/>
              </w:rPr>
              <w:t xml:space="preserve"> </w:t>
            </w:r>
            <w:r>
              <w:rPr>
                <w:rFonts w:hint="eastAsia" w:ascii="宋体" w:hAnsi="宋体"/>
                <w:b/>
                <w:color w:val="000000" w:themeColor="text1"/>
                <w:sz w:val="20"/>
                <w:szCs w:val="20"/>
              </w:rPr>
              <w:t>:</w:t>
            </w:r>
          </w:p>
          <w:p>
            <w:pPr>
              <w:spacing w:line="360" w:lineRule="auto"/>
              <w:ind w:firstLine="400" w:firstLineChars="200"/>
              <w:rPr>
                <w:rFonts w:hint="eastAsia" w:ascii="宋体" w:hAnsi="宋体"/>
                <w:b w:val="0"/>
                <w:bCs/>
                <w:color w:val="000000" w:themeColor="text1"/>
                <w:sz w:val="20"/>
                <w:szCs w:val="20"/>
              </w:rPr>
            </w:pPr>
            <w:r>
              <w:rPr>
                <w:rFonts w:hint="eastAsia" w:ascii="宋体" w:hAnsi="宋体"/>
                <w:b w:val="0"/>
                <w:bCs/>
                <w:color w:val="000000" w:themeColor="text1"/>
                <w:sz w:val="20"/>
                <w:szCs w:val="20"/>
              </w:rPr>
              <w:t>组织按管理体系需求配置了充足的人员、设施、监视和测量设备等资源，并建立维持了</w:t>
            </w:r>
            <w:r>
              <w:rPr>
                <w:rFonts w:hint="eastAsia" w:ascii="宋体" w:hAnsi="宋体"/>
                <w:b w:val="0"/>
                <w:bCs/>
                <w:color w:val="000000" w:themeColor="text1"/>
                <w:sz w:val="20"/>
                <w:szCs w:val="20"/>
                <w:lang w:val="en-US" w:eastAsia="zh-CN"/>
              </w:rPr>
              <w:t>销售服务</w:t>
            </w:r>
            <w:r>
              <w:rPr>
                <w:rFonts w:hint="eastAsia" w:ascii="宋体" w:hAnsi="宋体"/>
                <w:b w:val="0"/>
                <w:bCs/>
                <w:color w:val="000000" w:themeColor="text1"/>
                <w:sz w:val="20"/>
                <w:szCs w:val="20"/>
              </w:rPr>
              <w:t>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hint="eastAsia" w:ascii="宋体" w:hAnsi="宋体"/>
                <w:color w:val="auto"/>
                <w:spacing w:val="-10"/>
                <w:sz w:val="20"/>
                <w:szCs w:val="20"/>
                <w:lang w:val="en-US" w:eastAsia="zh-CN"/>
              </w:rPr>
            </w:pPr>
            <w:r>
              <w:rPr>
                <w:rFonts w:hint="eastAsia" w:ascii="宋体" w:hAnsi="宋体"/>
                <w:color w:val="auto"/>
                <w:spacing w:val="-10"/>
                <w:sz w:val="20"/>
                <w:szCs w:val="20"/>
                <w:lang w:val="en-US" w:eastAsia="zh-CN"/>
              </w:rPr>
              <w:t>台式电脑、笔记本电脑、</w:t>
            </w:r>
            <w:r>
              <w:rPr>
                <w:rFonts w:hint="eastAsia" w:ascii="宋体" w:hAnsi="宋体"/>
                <w:snapToGrid w:val="0"/>
                <w:kern w:val="0"/>
                <w:sz w:val="20"/>
                <w:szCs w:val="22"/>
                <w:lang w:val="en-US" w:eastAsia="zh-CN"/>
              </w:rPr>
              <w:t>打印机、电话</w:t>
            </w:r>
            <w:r>
              <w:rPr>
                <w:rFonts w:hint="eastAsia" w:ascii="宋体" w:hAnsi="宋体"/>
                <w:color w:val="auto"/>
                <w:spacing w:val="-10"/>
                <w:sz w:val="20"/>
                <w:szCs w:val="20"/>
                <w:lang w:val="en-US" w:eastAsia="zh-CN"/>
              </w:rPr>
              <w:t>等</w:t>
            </w:r>
          </w:p>
          <w:p>
            <w:pPr>
              <w:spacing w:line="360" w:lineRule="auto"/>
              <w:rPr>
                <w:rFonts w:ascii="宋体" w:hAnsi="宋体"/>
                <w:b/>
                <w:color w:val="000000" w:themeColor="text1"/>
                <w:sz w:val="20"/>
                <w:szCs w:val="20"/>
              </w:rPr>
            </w:pPr>
            <w:r>
              <w:rPr>
                <w:rFonts w:hint="eastAsia" w:ascii="宋体" w:hAnsi="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hint="eastAsia" w:ascii="宋体" w:hAnsi="宋体" w:eastAsia="宋体" w:cs="Times New Roman"/>
                <w:color w:val="auto"/>
                <w:spacing w:val="-10"/>
                <w:sz w:val="20"/>
                <w:szCs w:val="20"/>
                <w:lang w:val="en-US" w:eastAsia="zh-CN"/>
              </w:rPr>
            </w:pPr>
            <w:r>
              <w:rPr>
                <w:rFonts w:hint="eastAsia" w:ascii="宋体" w:hAnsi="宋体" w:eastAsia="宋体" w:cs="Times New Roman"/>
                <w:color w:val="auto"/>
                <w:spacing w:val="-10"/>
                <w:sz w:val="20"/>
                <w:szCs w:val="20"/>
                <w:lang w:val="en-US" w:eastAsia="zh-CN"/>
              </w:rPr>
              <w:t>销售服务过程和办公过程对环境要求一般，无特殊要求，办公室环境卫生较好。</w:t>
            </w:r>
          </w:p>
          <w:p>
            <w:pPr>
              <w:spacing w:line="360" w:lineRule="auto"/>
              <w:rPr>
                <w:rFonts w:ascii="宋体" w:hAnsi="宋体"/>
                <w:b/>
                <w:color w:val="000000" w:themeColor="text1"/>
                <w:sz w:val="20"/>
                <w:szCs w:val="20"/>
              </w:rPr>
            </w:pPr>
            <w:r>
              <w:rPr>
                <w:rFonts w:hint="eastAsia" w:ascii="宋体" w:hAnsi="宋体" w:eastAsia="宋体" w:cs="Times New Roman"/>
                <w:color w:val="auto"/>
                <w:spacing w:val="-10"/>
                <w:sz w:val="20"/>
                <w:szCs w:val="20"/>
                <w:lang w:val="en-US" w:eastAsia="zh-CN"/>
              </w:rPr>
              <w:t>办公环境光照、温度适宜，通风良好，电路布线合理、电气插座完整，未见破损，办公场所物品摆放整齐、有序，未见随意乱放私人物品的情况，未见用电不当等安全隐患及不良影响现象。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Cs w:val="21"/>
                <w:lang w:eastAsia="zh-CN"/>
              </w:rPr>
              <w:t>公司</w:t>
            </w:r>
            <w:r>
              <w:rPr>
                <w:rFonts w:hint="eastAsia"/>
                <w:szCs w:val="21"/>
                <w:lang w:val="en-US" w:eastAsia="zh-CN"/>
              </w:rPr>
              <w:t>主要是销售服务过程，暂无监视和测量设备</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宋体" w:hAnsi="宋体"/>
                <w:b w:val="0"/>
                <w:bCs/>
                <w:color w:val="000000" w:themeColor="text1"/>
                <w:sz w:val="20"/>
                <w:szCs w:val="20"/>
              </w:rPr>
            </w:pPr>
            <w:r>
              <w:rPr>
                <w:rFonts w:hint="eastAsia" w:ascii="宋体" w:hAnsi="宋体"/>
                <w:b w:val="0"/>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网络信息，从顾客或外部供方收集的知识）。</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Times New Roman"/>
                <w:szCs w:val="21"/>
                <w:lang w:eastAsia="zh-CN"/>
              </w:rPr>
              <w:t>优质服务, 客户第一，持续改进，勇攀一流</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b w:val="0"/>
                <w:bCs/>
                <w:color w:val="000000" w:themeColor="text1"/>
                <w:sz w:val="20"/>
                <w:szCs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无关键工序</w:t>
            </w:r>
            <w:r>
              <w:rPr>
                <w:rFonts w:hint="eastAsia"/>
                <w:b w:val="0"/>
                <w:bCs/>
                <w:color w:val="000000" w:themeColor="text1"/>
                <w:sz w:val="20"/>
                <w:szCs w:val="20"/>
                <w:lang w:eastAsia="zh-CN"/>
              </w:rPr>
              <w:t>，</w:t>
            </w:r>
            <w:r>
              <w:rPr>
                <w:rFonts w:hint="eastAsia"/>
                <w:b w:val="0"/>
                <w:bCs/>
                <w:color w:val="000000" w:themeColor="text1"/>
                <w:sz w:val="20"/>
                <w:szCs w:val="20"/>
              </w:rPr>
              <w:t>特殊过程</w:t>
            </w:r>
            <w:r>
              <w:rPr>
                <w:rFonts w:hint="eastAsia"/>
                <w:b w:val="0"/>
                <w:bCs/>
                <w:color w:val="000000" w:themeColor="text1"/>
                <w:sz w:val="20"/>
                <w:szCs w:val="20"/>
                <w:lang w:val="en-US" w:eastAsia="zh-CN"/>
              </w:rPr>
              <w:t>为销售服务过程</w:t>
            </w:r>
            <w:r>
              <w:rPr>
                <w:rFonts w:hint="eastAsia"/>
                <w:b w:val="0"/>
                <w:bCs/>
                <w:color w:val="000000" w:themeColor="text1"/>
                <w:sz w:val="20"/>
                <w:szCs w:val="20"/>
              </w:rPr>
              <w:t>，能力满足要求。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企业参考国家行业主要有：</w:t>
            </w:r>
            <w:r>
              <w:rPr>
                <w:rFonts w:hint="eastAsia" w:ascii="宋体" w:hAnsi="宋体"/>
                <w:szCs w:val="21"/>
                <w:lang w:eastAsia="zh-CN"/>
              </w:rPr>
              <w:t>中华人民共和国招标投标法、石英谐振器型号命名方法GB 6429-1986、电子管管座、石英谐振器插座总技术条件、SJ 1893-1981、电工电子产品环境条件 术语GB/T 11804-2005</w:t>
            </w:r>
            <w:r>
              <w:rPr>
                <w:rFonts w:hint="eastAsia" w:ascii="宋体" w:hAnsi="宋体" w:eastAsia="宋体" w:cs="宋体"/>
                <w:b w:val="0"/>
                <w:bCs w:val="0"/>
                <w:sz w:val="21"/>
                <w:szCs w:val="21"/>
              </w:rPr>
              <w:t>和客户要求。</w:t>
            </w:r>
          </w:p>
          <w:p>
            <w:pPr>
              <w:spacing w:line="300" w:lineRule="exact"/>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提供了检验记录，产品检验合格，满足顾客要求。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b w:val="0"/>
                <w:bCs/>
                <w:color w:val="000000" w:themeColor="text1"/>
                <w:sz w:val="20"/>
                <w:szCs w:val="20"/>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b/>
                <w:color w:val="000000" w:themeColor="text1"/>
                <w:sz w:val="20"/>
                <w:szCs w:val="20"/>
              </w:rPr>
            </w:pPr>
            <w:r>
              <w:rPr>
                <w:rFonts w:hint="eastAsia"/>
                <w:b/>
                <w:color w:val="000000" w:themeColor="text1"/>
                <w:sz w:val="20"/>
                <w:szCs w:val="20"/>
                <w:lang w:val="en-US" w:eastAsia="zh-CN"/>
              </w:rPr>
              <w:t>无</w:t>
            </w:r>
            <w:r>
              <w:rPr>
                <w:rFonts w:hint="eastAsia"/>
                <w:b/>
                <w:color w:val="000000" w:themeColor="text1"/>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eastAsia="宋体"/>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-12月目标的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105" w:leftChars="-50" w:firstLine="0" w:firstLineChars="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18日统计</w:t>
            </w:r>
            <w:r>
              <w:rPr>
                <w:rFonts w:hint="eastAsia" w:ascii="宋体" w:hAnsi="宋体" w:cs="宋体"/>
                <w:color w:val="000000" w:themeColor="text1"/>
                <w:szCs w:val="21"/>
              </w:rPr>
              <w:t>，满意度评价达</w:t>
            </w:r>
            <w:r>
              <w:rPr>
                <w:rFonts w:hint="eastAsia" w:ascii="宋体" w:hAnsi="宋体" w:cs="宋体"/>
                <w:color w:val="000000" w:themeColor="text1"/>
                <w:szCs w:val="21"/>
                <w:lang w:val="en-US" w:eastAsia="zh-CN"/>
              </w:rPr>
              <w:t>97</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每年一次，本次202</w:t>
            </w:r>
            <w:r>
              <w:rPr>
                <w:rFonts w:hint="eastAsia" w:ascii="宋体" w:hAnsi="宋体" w:cs="宋体"/>
                <w:szCs w:val="22"/>
                <w:lang w:val="en-US" w:eastAsia="zh-CN"/>
              </w:rPr>
              <w:t>1</w:t>
            </w:r>
            <w:r>
              <w:rPr>
                <w:rFonts w:hint="eastAsia" w:ascii="宋体" w:hAnsi="宋体" w:cs="宋体"/>
                <w:szCs w:val="22"/>
              </w:rPr>
              <w:t>.</w:t>
            </w:r>
            <w:r>
              <w:rPr>
                <w:rFonts w:hint="eastAsia" w:ascii="宋体" w:hAnsi="宋体" w:cs="宋体"/>
                <w:szCs w:val="22"/>
                <w:lang w:val="en-US" w:eastAsia="zh-CN"/>
              </w:rPr>
              <w:t>3</w:t>
            </w:r>
            <w:r>
              <w:rPr>
                <w:rFonts w:hint="eastAsia" w:ascii="宋体" w:hAnsi="宋体" w:cs="宋体"/>
                <w:szCs w:val="22"/>
              </w:rPr>
              <w:t>.</w:t>
            </w:r>
            <w:r>
              <w:rPr>
                <w:rFonts w:hint="eastAsia" w:ascii="宋体" w:hAnsi="宋体" w:cs="宋体"/>
                <w:szCs w:val="22"/>
                <w:lang w:val="en-US" w:eastAsia="zh-CN"/>
              </w:rPr>
              <w:t>10</w:t>
            </w:r>
            <w:r>
              <w:rPr>
                <w:rFonts w:hint="eastAsia" w:ascii="宋体" w:hAnsi="宋体" w:cs="宋体"/>
                <w:szCs w:val="22"/>
              </w:rPr>
              <w:t>-</w:t>
            </w:r>
            <w:r>
              <w:rPr>
                <w:rFonts w:hint="eastAsia" w:ascii="宋体" w:hAnsi="宋体" w:cs="宋体"/>
                <w:szCs w:val="22"/>
                <w:lang w:val="en-US" w:eastAsia="zh-CN"/>
              </w:rPr>
              <w:t>3</w:t>
            </w:r>
            <w:r>
              <w:rPr>
                <w:rFonts w:hint="eastAsia" w:ascii="宋体" w:hAnsi="宋体" w:cs="宋体"/>
                <w:szCs w:val="22"/>
              </w:rPr>
              <w:t>.</w:t>
            </w:r>
            <w:r>
              <w:rPr>
                <w:rFonts w:hint="eastAsia" w:ascii="宋体" w:hAnsi="宋体" w:cs="宋体"/>
                <w:szCs w:val="22"/>
                <w:lang w:val="en-US" w:eastAsia="zh-CN"/>
              </w:rPr>
              <w:t>11</w:t>
            </w:r>
            <w:r>
              <w:rPr>
                <w:rFonts w:hint="eastAsia" w:ascii="宋体" w:hAnsi="宋体" w:cs="宋体"/>
                <w:szCs w:val="22"/>
              </w:rPr>
              <w:t>日内审。</w:t>
            </w:r>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rPr>
                <w:b/>
                <w:color w:val="000000" w:themeColor="text1"/>
                <w:spacing w:val="-8"/>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每年一次，202</w:t>
            </w:r>
            <w:r>
              <w:rPr>
                <w:rFonts w:hint="eastAsia" w:ascii="宋体" w:hAnsi="宋体" w:cs="宋体"/>
                <w:szCs w:val="22"/>
                <w:lang w:val="en-US" w:eastAsia="zh-CN"/>
              </w:rPr>
              <w:t>1</w:t>
            </w:r>
            <w:r>
              <w:rPr>
                <w:rFonts w:hint="eastAsia" w:ascii="宋体" w:hAnsi="宋体" w:cs="宋体"/>
                <w:szCs w:val="22"/>
              </w:rPr>
              <w:t>.</w:t>
            </w:r>
            <w:r>
              <w:rPr>
                <w:rFonts w:hint="eastAsia" w:ascii="宋体" w:hAnsi="宋体" w:cs="宋体"/>
                <w:szCs w:val="22"/>
                <w:lang w:val="en-US" w:eastAsia="zh-CN"/>
              </w:rPr>
              <w:t>3</w:t>
            </w:r>
            <w:r>
              <w:rPr>
                <w:rFonts w:hint="eastAsia" w:ascii="宋体" w:hAnsi="宋体" w:cs="宋体"/>
                <w:szCs w:val="22"/>
              </w:rPr>
              <w:t>.</w:t>
            </w:r>
            <w:r>
              <w:rPr>
                <w:rFonts w:hint="eastAsia" w:ascii="宋体" w:hAnsi="宋体" w:cs="宋体"/>
                <w:szCs w:val="22"/>
                <w:lang w:val="en-US" w:eastAsia="zh-CN"/>
              </w:rPr>
              <w:t>25</w:t>
            </w:r>
            <w:r>
              <w:rPr>
                <w:rFonts w:hint="eastAsia" w:ascii="宋体" w:hAnsi="宋体" w:cs="宋体"/>
                <w:szCs w:val="22"/>
              </w:rPr>
              <w:t>日管理评审。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ascii="Times New Roman" w:hAnsi="Times New Roman" w:eastAsia="宋体" w:cs="Times New Roman"/>
                <w:bCs/>
                <w:color w:val="000000" w:themeColor="text1"/>
                <w:szCs w:val="21"/>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360" w:lineRule="auto"/>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360" w:lineRule="auto"/>
              <w:ind w:left="-105" w:leftChars="-50" w:firstLine="402" w:firstLineChars="20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组织体系运行满足标准要求，既定目标能达成，向顾客提供稳定、合格产品，满足适用的质量法规要求，实施措施基本有效。体系运行基本适宜、充分、有效，基本建立自我完善机制。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 xml:space="preserve"> 计算机软件研发</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0288" behindDoc="0" locked="0" layoutInCell="1" allowOverlap="1">
            <wp:simplePos x="0" y="0"/>
            <wp:positionH relativeFrom="column">
              <wp:posOffset>1512570</wp:posOffset>
            </wp:positionH>
            <wp:positionV relativeFrom="paragraph">
              <wp:posOffset>344170</wp:posOffset>
            </wp:positionV>
            <wp:extent cx="607060" cy="50355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07060" cy="50355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598170</wp:posOffset>
            </wp:positionH>
            <wp:positionV relativeFrom="paragraph">
              <wp:posOffset>46355</wp:posOffset>
            </wp:positionV>
            <wp:extent cx="607060" cy="503555"/>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607060" cy="50355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22</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8FE3F"/>
    <w:multiLevelType w:val="singleLevel"/>
    <w:tmpl w:val="8E98FE3F"/>
    <w:lvl w:ilvl="0" w:tentative="0">
      <w:start w:val="2"/>
      <w:numFmt w:val="decimal"/>
      <w:lvlText w:val="%1."/>
      <w:lvlJc w:val="left"/>
      <w:pPr>
        <w:tabs>
          <w:tab w:val="left" w:pos="312"/>
        </w:tabs>
      </w:pPr>
    </w:lvl>
  </w:abstractNum>
  <w:abstractNum w:abstractNumId="1">
    <w:nsid w:val="48421066"/>
    <w:multiLevelType w:val="singleLevel"/>
    <w:tmpl w:val="4842106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266252"/>
    <w:rsid w:val="06DB7A07"/>
    <w:rsid w:val="165A47A9"/>
    <w:rsid w:val="3BBB3202"/>
    <w:rsid w:val="49272EC4"/>
    <w:rsid w:val="56721487"/>
    <w:rsid w:val="7FCE7F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2021-04-20T04:45:12Z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F47571E1991F48CFB8E9D2D043A7CB6F</vt:lpwstr>
  </property>
</Properties>
</file>