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84"/>
        <w:gridCol w:w="690"/>
        <w:gridCol w:w="720"/>
        <w:gridCol w:w="149"/>
        <w:gridCol w:w="1134"/>
        <w:gridCol w:w="1559"/>
        <w:gridCol w:w="567"/>
        <w:gridCol w:w="866"/>
        <w:gridCol w:w="552"/>
        <w:gridCol w:w="425"/>
        <w:gridCol w:w="425"/>
        <w:gridCol w:w="16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四川富戎包装材料有限公司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0320-2021-Q</w:t>
            </w:r>
            <w:bookmarkEnd w:id="1"/>
          </w:p>
        </w:tc>
        <w:tc>
          <w:tcPr>
            <w:tcW w:w="15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朱贇</w:t>
            </w:r>
            <w:bookmarkEnd w:id="5"/>
          </w:p>
        </w:tc>
        <w:tc>
          <w:tcPr>
            <w:tcW w:w="15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15892248693</w:t>
            </w:r>
            <w:bookmarkEnd w:id="6"/>
          </w:p>
        </w:tc>
        <w:tc>
          <w:tcPr>
            <w:tcW w:w="97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9252721@20qq。Com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693" w:type="dxa"/>
            <w:gridSpan w:val="4"/>
            <w:vAlign w:val="center"/>
          </w:tcPr>
          <w:p>
            <w:bookmarkStart w:id="8" w:name="最高管理者"/>
            <w:bookmarkEnd w:id="8"/>
            <w:bookmarkStart w:id="9" w:name="法人"/>
            <w:r>
              <w:t>涂万其</w:t>
            </w:r>
            <w:bookmarkEnd w:id="9"/>
          </w:p>
        </w:tc>
        <w:tc>
          <w:tcPr>
            <w:tcW w:w="15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33" w:type="dxa"/>
            <w:gridSpan w:val="2"/>
            <w:vAlign w:val="center"/>
          </w:tcPr>
          <w:p>
            <w:bookmarkStart w:id="10" w:name="联系人传真"/>
            <w:bookmarkEnd w:id="10"/>
          </w:p>
        </w:tc>
        <w:tc>
          <w:tcPr>
            <w:tcW w:w="977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8"/>
            <w:vAlign w:val="center"/>
          </w:tcPr>
          <w:p>
            <w:bookmarkStart w:id="11" w:name="审核范围"/>
            <w:r>
              <w:t>纸箱的加工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2" w:name="专业代码"/>
            <w:r>
              <w:t>07.02.01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2021年04月14日 上午至2021年04月14日 下午 (共1.0天)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15" w:name="_GoBack"/>
            <w:bookmarkEnd w:id="15"/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罗田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13882361742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谢梦洋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C 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07.02.01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13540135937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vAlign w:val="center"/>
          </w:tcPr>
          <w:p/>
        </w:tc>
        <w:tc>
          <w:tcPr>
            <w:tcW w:w="974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283" w:type="dxa"/>
            <w:gridSpan w:val="2"/>
            <w:vAlign w:val="center"/>
          </w:tcPr>
          <w:p/>
        </w:tc>
        <w:tc>
          <w:tcPr>
            <w:tcW w:w="2992" w:type="dxa"/>
            <w:gridSpan w:val="3"/>
            <w:vAlign w:val="center"/>
          </w:tcPr>
          <w:p/>
        </w:tc>
        <w:tc>
          <w:tcPr>
            <w:tcW w:w="1562" w:type="dxa"/>
            <w:gridSpan w:val="4"/>
            <w:vAlign w:val="center"/>
          </w:tcPr>
          <w:p/>
        </w:tc>
        <w:tc>
          <w:tcPr>
            <w:tcW w:w="14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2021.04.10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437"/>
        <w:gridCol w:w="705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8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68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705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0" w:hRule="atLeast"/>
        </w:trPr>
        <w:tc>
          <w:tcPr>
            <w:tcW w:w="6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（12：00~13：00休息1小时）</w:t>
            </w:r>
          </w:p>
        </w:tc>
        <w:tc>
          <w:tcPr>
            <w:tcW w:w="705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 xml:space="preserve">⑴ 通过对受审核方的管理、生产现场进行观察，从总体上初步判断受审核方的实际情况（包括实际的产品或服务类别与控制、部门设置、资源状况等）与成文信息的一致性，为第二阶段审核的准备情况。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⑶ 评价所建立的管理体系文件与审核准则和认证要求的符合性/适宜性；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⑷了解、收集、确认和核实受审核方相关信息以及相关法律法规的执行情况（重点是法律位证明文件、经营许可资质/资格、强制性标准执行情况）；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⑹确认方针、目标的制定与实施状况；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⑻了解为第二阶段审核所需资源的配置情况；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⑼确定管理层二阶段审核的重点。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⑽确认体系策划部门是否按要求建立、实施、保持并持续改进了体系。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⑿适用法律法规、技术标准识别的充分性，收集合规性的证据。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6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0~17：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705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454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2021-04-16T02:23:28Z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96EFEE9BFE2F42BB8181EB5961CEC629</vt:lpwstr>
  </property>
</Properties>
</file>