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9208770"/>
            <wp:effectExtent l="0" t="0" r="8890" b="11430"/>
            <wp:docPr id="4" name="图片 4" descr="b8930628a5b7602472e6520b617e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930628a5b7602472e6520b617ef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20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77940" cy="9236075"/>
            <wp:effectExtent l="0" t="0" r="10160" b="9525"/>
            <wp:docPr id="3" name="图片 3" descr="f0faf9eb42f13a0faca2c6cd9685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faf9eb42f13a0faca2c6cd96850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安徽天畅金属材料有限公司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提供不出节能管理方案。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ISO500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提供不出节能管理方案。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eastAsia="方正仿宋简体"/>
                <w:b/>
                <w:lang w:val="en-US" w:eastAsia="zh-CN"/>
              </w:rPr>
              <w:t>制定节能管理方案。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ISO500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理解不深。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方正仿宋简体"/>
                <w:b/>
                <w:lang w:val="en-US" w:eastAsia="zh-CN"/>
              </w:rPr>
              <w:t>对相关人员进行培训，使其理解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ISO500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CE527B"/>
    <w:rsid w:val="2EF93C6B"/>
    <w:rsid w:val="5954403B"/>
    <w:rsid w:val="668A2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2021-04-18T07:41:04Z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75ECD2241CE342CDBDF05E1ED63C6498</vt:lpwstr>
  </property>
</Properties>
</file>