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0057-2020-Q-2021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绵阳市鑫隆化工有限公司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四川省绵阳市经开区经开区文武路509号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四川省绵阳市经开区经开区文武路509号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四川省绵阳市经开区经开区文武路509号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91510700MA6AU12B61</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18231875050</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刘彦平</w:t>
      </w:r>
      <w:bookmarkEnd w:id="12"/>
      <w:r>
        <w:rPr>
          <w:rFonts w:hint="eastAsia"/>
          <w:b/>
          <w:color w:val="000000" w:themeColor="text1"/>
          <w:sz w:val="22"/>
          <w:szCs w:val="22"/>
        </w:rPr>
        <w:t>组织人数：</w:t>
      </w:r>
      <w:bookmarkStart w:id="13" w:name="体系人数"/>
      <w:r>
        <w:rPr>
          <w:b/>
          <w:color w:val="000000" w:themeColor="text1"/>
          <w:sz w:val="22"/>
          <w:szCs w:val="22"/>
          <w:u w:val="single"/>
        </w:rPr>
        <w:t>10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3590925</wp:posOffset>
            </wp:positionH>
            <wp:positionV relativeFrom="paragraph">
              <wp:posOffset>219710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2021年4月15日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bookmarkStart w:id="19" w:name="_GoBack"/>
      <w:bookmarkEnd w:id="19"/>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FA7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dcterms:modified xsi:type="dcterms:W3CDTF">2021-04-14T23:17:48Z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60D0437404004E3E989A3B0F2050262B</vt:lpwstr>
  </property>
</Properties>
</file>