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0288-2021-QEO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河北璐冉建筑工程有限公司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李蒙生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Q:35.11.00</w:t>
            </w:r>
          </w:p>
          <w:p>
            <w:pPr>
              <w:spacing w:line="240" w:lineRule="exact"/>
              <w:jc w:val="center"/>
              <w:rPr>
                <w:b/>
                <w:color w:val="000000"/>
                <w:sz w:val="20"/>
                <w:szCs w:val="20"/>
              </w:rPr>
            </w:pPr>
            <w:r>
              <w:rPr>
                <w:b/>
                <w:color w:val="000000"/>
                <w:sz w:val="20"/>
                <w:szCs w:val="20"/>
              </w:rPr>
              <w:t>E:35.11.00</w:t>
            </w:r>
          </w:p>
          <w:p>
            <w:pPr>
              <w:spacing w:line="240" w:lineRule="exact"/>
              <w:jc w:val="center"/>
              <w:rPr>
                <w:b/>
                <w:color w:val="000000"/>
                <w:sz w:val="20"/>
                <w:szCs w:val="20"/>
              </w:rPr>
            </w:pPr>
            <w:r>
              <w:rPr>
                <w:b/>
                <w:color w:val="000000"/>
                <w:sz w:val="20"/>
                <w:szCs w:val="20"/>
              </w:rPr>
              <w:t>O:35.11.00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李丽英</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rFonts w:hint="eastAsia" w:eastAsia="宋体"/>
                <w:b/>
                <w:color w:val="000000"/>
                <w:sz w:val="20"/>
                <w:szCs w:val="20"/>
                <w:lang w:val="en-US" w:eastAsia="zh-CN"/>
              </w:rPr>
            </w:pPr>
            <w:r>
              <w:rPr>
                <w:rFonts w:hint="eastAsia"/>
                <w:b/>
                <w:color w:val="000000"/>
                <w:sz w:val="20"/>
                <w:szCs w:val="20"/>
                <w:lang w:val="en-US" w:eastAsia="zh-CN"/>
              </w:rPr>
              <w:t>/</w:t>
            </w: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河北璐冉建筑工程有限公司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河北省石家庄市新华区中华北大街559号东岸尚园4-2-102</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050061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河北省石家庄市新华区中华北大街559号东岸尚园4-2-102</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050061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张文江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15512678866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刘建成</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刘建辉</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Lrgs168518@163.com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Q：资质范围内的建筑工程劳务分包（劳务派遣除外）</w:t>
            </w:r>
          </w:p>
          <w:p>
            <w:pPr>
              <w:spacing w:line="400" w:lineRule="exact"/>
              <w:rPr>
                <w:rFonts w:ascii="宋体" w:hAnsi="宋体"/>
                <w:b/>
                <w:color w:val="000000"/>
                <w:sz w:val="20"/>
                <w:szCs w:val="20"/>
              </w:rPr>
            </w:pPr>
            <w:r>
              <w:rPr>
                <w:rFonts w:ascii="宋体" w:hAnsi="宋体"/>
                <w:b/>
                <w:color w:val="000000"/>
                <w:sz w:val="20"/>
                <w:szCs w:val="20"/>
              </w:rPr>
              <w:t>E：资质范围内的建筑工程劳务分包（劳务派遣除外）所涉及场所的相关环境管理活动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O：资质范围内的建筑工程劳务分包（劳务派遣除外）所涉及场所的相关职业健康安全管理活动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Q：35.11.00</w:t>
            </w:r>
          </w:p>
          <w:p>
            <w:pPr>
              <w:spacing w:line="280" w:lineRule="exact"/>
              <w:rPr>
                <w:rFonts w:ascii="宋体"/>
                <w:b/>
                <w:color w:val="000000"/>
                <w:sz w:val="20"/>
                <w:szCs w:val="20"/>
              </w:rPr>
            </w:pPr>
            <w:r>
              <w:rPr>
                <w:rFonts w:ascii="宋体"/>
                <w:b/>
                <w:color w:val="000000"/>
                <w:sz w:val="20"/>
                <w:szCs w:val="20"/>
              </w:rPr>
              <w:t>E：35.11.00</w:t>
            </w:r>
          </w:p>
          <w:p>
            <w:pPr>
              <w:spacing w:line="280" w:lineRule="exact"/>
              <w:rPr>
                <w:rFonts w:ascii="宋体"/>
                <w:b/>
                <w:color w:val="000000"/>
                <w:sz w:val="20"/>
                <w:szCs w:val="20"/>
              </w:rPr>
            </w:pPr>
            <w:r>
              <w:rPr>
                <w:rFonts w:ascii="宋体"/>
                <w:b/>
                <w:color w:val="000000"/>
                <w:sz w:val="20"/>
                <w:szCs w:val="20"/>
              </w:rPr>
              <w:t>O：35.11.00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管理层、办公室、业务部、工程部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河北省石家庄市新华区中华北大街559号东岸尚园4-2-102</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t>资质范围内的建筑工程劳务分包（劳务派遣除外）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办公室、业务部、工程部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项目部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河北省石家庄市新华区中华北大街559号东岸尚园4-2-102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河北省石家庄市新华区中华北大街559号东岸尚园4-2-102</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auto"/>
                <w:sz w:val="20"/>
                <w:szCs w:val="20"/>
              </w:rPr>
              <w:t>生产许可证是否有效：</w:t>
            </w:r>
            <w:r>
              <w:rPr>
                <w:rFonts w:hint="eastAsia" w:ascii="宋体" w:hAnsi="宋体"/>
                <w:color w:val="auto"/>
                <w:spacing w:val="-10"/>
                <w:sz w:val="20"/>
                <w:szCs w:val="20"/>
              </w:rPr>
              <w:sym w:font="Wingdings 2" w:char="00A3"/>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sym w:font="Wingdings 2" w:char="0052"/>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auto"/>
                <w:sz w:val="20"/>
                <w:szCs w:val="20"/>
              </w:rPr>
              <w:t>安全生产许可证是否有效</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建筑业企业资质证书——不分专业施工劳务不分等级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r>
              <w:rPr>
                <w:rFonts w:hint="eastAsia" w:ascii="宋体" w:hAnsi="宋体" w:eastAsia="宋体" w:cs="Times New Roman"/>
                <w:color w:val="000000"/>
                <w:spacing w:val="-10"/>
                <w:sz w:val="20"/>
                <w:szCs w:val="20"/>
                <w:lang w:val="en-US" w:eastAsia="zh-CN"/>
              </w:rPr>
              <w:t>建筑安装分项工程施工工艺规程（DBJ/T 01-26-2003）；、工程测量规范 GB50026-2007、建设电子文件与电子档案管理规程（ CJJ/T 117-2017）、建筑工程施工质量验收统一标准 GB 50300-2013、建设工程监理规范 GB50319-2014等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color w:val="000000"/>
                <w:sz w:val="20"/>
                <w:szCs w:val="20"/>
                <w:lang w:val="en-US" w:eastAsia="zh-CN"/>
              </w:rPr>
              <w:t>环境保护法、消防法、清洁生产促进法、环境管理体系要求及使用指南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eastAsia" w:ascii="宋体" w:hAnsi="宋体"/>
                <w:color w:val="000000"/>
                <w:sz w:val="20"/>
                <w:szCs w:val="20"/>
                <w:lang w:val="en-US" w:eastAsia="zh-CN"/>
              </w:rPr>
              <w:t>劳动合同法</w:t>
            </w:r>
            <w:r>
              <w:rPr>
                <w:rFonts w:hint="default" w:ascii="宋体" w:hAnsi="宋体"/>
                <w:color w:val="000000"/>
                <w:sz w:val="20"/>
                <w:szCs w:val="20"/>
              </w:rPr>
              <w:t>、</w:t>
            </w:r>
            <w:r>
              <w:rPr>
                <w:rFonts w:hint="eastAsia" w:ascii="宋体" w:hAnsi="宋体"/>
                <w:color w:val="000000"/>
                <w:sz w:val="20"/>
                <w:szCs w:val="20"/>
                <w:lang w:val="en-US" w:eastAsia="zh-CN"/>
              </w:rPr>
              <w:t>消防法、工伤保险条例、劳动防护用品产品质量监督检验暂行管理办法、职业健康安全管理体系要求及使用指南等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color w:val="000000"/>
                <w:sz w:val="20"/>
                <w:szCs w:val="20"/>
                <w:lang w:val="en-US" w:eastAsia="zh-CN"/>
              </w:rPr>
            </w:pPr>
            <w:r>
              <w:rPr>
                <w:rFonts w:hint="eastAsia" w:ascii="宋体"/>
                <w:color w:val="000000"/>
                <w:sz w:val="20"/>
                <w:szCs w:val="20"/>
                <w:lang w:val="en-US" w:eastAsia="zh-CN"/>
              </w:rPr>
              <w:t>市场信息——投标——中标——质量策划——资源准备——施工现场控制——工程交付——工程回访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施工现场控制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eastAsia="宋体" w:cs="Times New Roman"/>
                <w:color w:val="000000"/>
                <w:sz w:val="20"/>
                <w:szCs w:val="20"/>
                <w:lang w:val="en-US" w:eastAsia="zh-CN"/>
              </w:rPr>
              <w:t>安全管理制度、环境管理制度、安全生产管理责任制及制度、安全生产责任书、施工制度等制度文件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rPr>
              <w:t>隐蔽工程过程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eastAsia="宋体" w:cs="Times New Roman"/>
                <w:color w:val="000000"/>
                <w:spacing w:val="-10"/>
                <w:sz w:val="20"/>
                <w:szCs w:val="20"/>
                <w:lang w:val="en-US" w:eastAsia="zh-CN"/>
              </w:rPr>
              <w:t>蛙式打夯机、交流电焊机、直流电焊机、木工电锯、磨光机、混凝土振捣器、平板振捣器、套丝机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Times New Roman" w:eastAsia="宋体" w:cs="Times New Roman"/>
                <w:color w:val="000000"/>
                <w:sz w:val="20"/>
                <w:szCs w:val="20"/>
              </w:rPr>
              <w:t>）：</w:t>
            </w:r>
            <w:r>
              <w:rPr>
                <w:rFonts w:hint="eastAsia" w:ascii="宋体" w:hAnsi="Times New Roman" w:eastAsia="宋体" w:cs="Times New Roman"/>
                <w:color w:val="000000"/>
                <w:sz w:val="20"/>
                <w:szCs w:val="20"/>
                <w:lang w:val="en-US" w:eastAsia="zh-CN"/>
              </w:rPr>
              <w:t>钢卷尺、钢直尺、游标卡尺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230平米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Times New Roman" w:eastAsia="宋体" w:cs="Times New Roman"/>
                <w:color w:val="000000"/>
                <w:sz w:val="20"/>
                <w:szCs w:val="20"/>
              </w:rPr>
              <w:t>：</w:t>
            </w:r>
            <w:r>
              <w:rPr>
                <w:rFonts w:hint="eastAsia" w:ascii="宋体" w:hAnsi="Times New Roman" w:eastAsia="宋体" w:cs="Times New Roman"/>
                <w:color w:val="000000"/>
                <w:sz w:val="20"/>
                <w:szCs w:val="20"/>
                <w:lang w:val="en-US" w:eastAsia="zh-CN"/>
              </w:rPr>
              <w:t>意外火灾事故发生、固体废弃物处理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eastAsia="zh-CN"/>
              </w:rPr>
              <w:t>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Times New Roman" w:eastAsia="宋体" w:cs="Times New Roman"/>
                <w:color w:val="000000"/>
                <w:sz w:val="20"/>
                <w:szCs w:val="20"/>
                <w:lang w:val="en-US" w:eastAsia="zh-CN"/>
              </w:rPr>
              <w:t>火灾、触电、机械伤害、物体打击、高空坠落等危险源导致的人员伤亡、事故发生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hAnsi="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办公室、业务部、工程部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办公室、工程部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办公室、工程部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utoSpaceDE w:val="0"/>
              <w:autoSpaceDN w:val="0"/>
              <w:adjustRightInd w:val="0"/>
              <w:spacing w:line="360" w:lineRule="auto"/>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eastAsia="宋体" w:cs="Times New Roman"/>
                <w:b/>
                <w:color w:val="000000"/>
                <w:sz w:val="20"/>
                <w:szCs w:val="20"/>
              </w:rPr>
              <w:t>综合来看，这次内审是一次比较成功的审核，同时也发现我公司的管理体系运行除本次内审没有涉及到的GB/T19001-2016标准8.3条款 标准的10.3条款外，基本是正常的、有效的，已具备申请认证的条件。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eastAsia="宋体" w:cs="Times New Roman"/>
                <w:b/>
                <w:color w:val="000000"/>
                <w:sz w:val="20"/>
                <w:szCs w:val="20"/>
              </w:rPr>
              <w:t>推行三体系以来，已经在各个部门取得了不小的进步，整个质量管理体系在总体上是适用和有效的。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400" w:lineRule="exact"/>
        <w:rPr>
          <w:rFonts w:ascii="宋体" w:hAns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ascii="宋体" w:hAnsi="宋体"/>
          <w:b/>
          <w:color w:val="000000"/>
          <w:sz w:val="20"/>
          <w:szCs w:val="20"/>
          <w:u w:val="single"/>
        </w:rPr>
        <w:t>资质范围内的建筑工程劳务分包（劳务派遣除外）</w:t>
      </w:r>
      <w:r>
        <w:rPr>
          <w:rFonts w:ascii="宋体" w:hAnsi="宋体"/>
          <w:b/>
          <w:color w:val="000000"/>
          <w:sz w:val="20"/>
          <w:szCs w:val="20"/>
        </w:rPr>
        <w:t>_</w:t>
      </w:r>
    </w:p>
    <w:p>
      <w:pPr>
        <w:spacing w:line="300" w:lineRule="auto"/>
        <w:ind w:firstLine="201" w:firstLineChars="100"/>
        <w:rPr>
          <w:rFonts w:ascii="宋体"/>
          <w:b/>
          <w:color w:val="000000"/>
          <w:sz w:val="20"/>
          <w:szCs w:val="20"/>
          <w:u w:val="single"/>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ascii="宋体" w:hAnsi="宋体"/>
          <w:b/>
          <w:color w:val="000000"/>
          <w:sz w:val="20"/>
          <w:szCs w:val="20"/>
          <w:u w:val="single"/>
        </w:rPr>
        <w:t>资质范围内的建筑工程劳务分包（劳务派遣除外）所涉及场所的相关环境管理活动</w:t>
      </w:r>
    </w:p>
    <w:p>
      <w:pPr>
        <w:spacing w:line="300" w:lineRule="auto"/>
        <w:ind w:firstLine="201" w:firstLineChars="100"/>
        <w:rPr>
          <w:rFonts w:ascii="宋体"/>
          <w:b/>
          <w:color w:val="000000"/>
          <w:sz w:val="20"/>
          <w:szCs w:val="20"/>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u w:val="single"/>
        </w:rPr>
        <w:t>资质范围内的建筑工程劳务分包（劳务派遣除外）所涉及场所的相关职业健康安全管理活动</w:t>
      </w:r>
    </w:p>
    <w:p>
      <w:pPr>
        <w:spacing w:line="300" w:lineRule="auto"/>
        <w:ind w:firstLine="201" w:firstLineChars="100"/>
        <w:rPr>
          <w:rFonts w:ascii="宋体"/>
          <w:b/>
          <w:color w:val="000000"/>
          <w:sz w:val="20"/>
          <w:szCs w:val="20"/>
          <w:u w:val="single"/>
        </w:rPr>
      </w:pP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62336" behindDoc="0" locked="0" layoutInCell="1" allowOverlap="1">
            <wp:simplePos x="0" y="0"/>
            <wp:positionH relativeFrom="column">
              <wp:posOffset>1795780</wp:posOffset>
            </wp:positionH>
            <wp:positionV relativeFrom="paragraph">
              <wp:posOffset>322580</wp:posOffset>
            </wp:positionV>
            <wp:extent cx="589280" cy="313055"/>
            <wp:effectExtent l="0" t="0" r="5080" b="6985"/>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589280" cy="31305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bookmarkStart w:id="24" w:name="_GoBack"/>
      <w:bookmarkEnd w:id="24"/>
    </w:p>
    <w:p>
      <w:pPr>
        <w:spacing w:line="400" w:lineRule="exact"/>
        <w:ind w:firstLine="843" w:firstLineChars="400"/>
        <w:rPr>
          <w:rFonts w:hint="eastAsia" w:ascii="宋体" w:eastAsia="宋体"/>
          <w:b/>
          <w:color w:val="000000"/>
          <w:lang w:eastAsia="zh-CN"/>
        </w:rPr>
      </w:pPr>
      <w:r>
        <w:rPr>
          <w:rFonts w:hint="eastAsia" w:ascii="宋体" w:eastAsia="宋体"/>
          <w:b/>
          <w:color w:val="000000"/>
          <w:lang w:eastAsia="zh-CN"/>
        </w:rPr>
        <w:drawing>
          <wp:anchor distT="0" distB="0" distL="114300" distR="114300" simplePos="0" relativeHeight="251663360" behindDoc="0" locked="0" layoutInCell="1" allowOverlap="1">
            <wp:simplePos x="0" y="0"/>
            <wp:positionH relativeFrom="column">
              <wp:posOffset>1644015</wp:posOffset>
            </wp:positionH>
            <wp:positionV relativeFrom="paragraph">
              <wp:posOffset>90170</wp:posOffset>
            </wp:positionV>
            <wp:extent cx="908685" cy="323850"/>
            <wp:effectExtent l="0" t="0" r="5715" b="11430"/>
            <wp:wrapNone/>
            <wp:docPr id="3" name="图片 3" descr="e949b408585e4a3484c26b746e3cb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949b408585e4a3484c26b746e3cb2d"/>
                    <pic:cNvPicPr>
                      <a:picLocks noChangeAspect="1"/>
                    </pic:cNvPicPr>
                  </pic:nvPicPr>
                  <pic:blipFill>
                    <a:blip r:embed="rId7"/>
                    <a:stretch>
                      <a:fillRect/>
                    </a:stretch>
                  </pic:blipFill>
                  <pic:spPr>
                    <a:xfrm>
                      <a:off x="0" y="0"/>
                      <a:ext cx="908685" cy="32385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2021.4.16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sz w:val="24"/>
              </w:rPr>
              <w:pict>
                <v:line id="_x0000_s1026" o:spid="_x0000_s1026" o:spt="20" style="position:absolute;left:0pt;flip:y;margin-left:-29.85pt;margin-top:-93.85pt;height:259.55pt;width:448.2pt;z-index:251661312;mso-width-relative:page;mso-height-relative:page;" filled="f" stroked="t" coordsize="21600,21600">
                  <v:path arrowok="t"/>
                  <v:fill on="f" focussize="0,0"/>
                  <v:stroke color="#000000"/>
                  <v:imagedata o:title=""/>
                  <o:lock v:ext="edit" aspectratio="f"/>
                </v:line>
              </w:pic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7F6380"/>
    <w:rsid w:val="5E5E1936"/>
    <w:rsid w:val="65806CE7"/>
    <w:rsid w:val="786B3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李蒙生</cp:lastModifiedBy>
  <dcterms:modified xsi:type="dcterms:W3CDTF">2021-04-18T13:03:52Z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4515776676074ADA9B62E8DC21E6B9B0</vt:lpwstr>
  </property>
</Properties>
</file>