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主管领导/陪同人员</w:t>
            </w:r>
            <w:r>
              <w:rPr>
                <w:rFonts w:hint="eastAsia"/>
                <w:sz w:val="24"/>
                <w:szCs w:val="24"/>
                <w:lang w:eastAsia="zh-CN"/>
              </w:rPr>
              <w:t>：</w:t>
            </w:r>
            <w:r>
              <w:rPr>
                <w:rFonts w:hint="eastAsia"/>
                <w:sz w:val="24"/>
                <w:szCs w:val="24"/>
                <w:lang w:val="en-US" w:eastAsia="zh-CN"/>
              </w:rPr>
              <w:t>刘建成/张文江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李丽英        </w:t>
            </w:r>
            <w:r>
              <w:rPr>
                <w:rFonts w:hint="eastAsia"/>
                <w:sz w:val="24"/>
                <w:szCs w:val="24"/>
              </w:rPr>
              <w:t>审核时间：</w:t>
            </w:r>
            <w:r>
              <w:rPr>
                <w:rFonts w:hint="eastAsia"/>
                <w:sz w:val="24"/>
                <w:szCs w:val="24"/>
                <w:lang w:val="en-US" w:eastAsia="zh-CN"/>
              </w:rPr>
              <w:t>2021.4.16上午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1"/>
                <w:szCs w:val="21"/>
                <w:lang w:val="en-US" w:eastAsia="zh-CN"/>
              </w:rPr>
              <w:t xml:space="preserve">QEO </w:t>
            </w:r>
            <w:r>
              <w:rPr>
                <w:rFonts w:hint="eastAsia"/>
                <w:sz w:val="21"/>
                <w:szCs w:val="21"/>
              </w:rPr>
              <w:t>4.1/4.3/4.4/5.2/6.2/7.1</w:t>
            </w:r>
            <w:r>
              <w:rPr>
                <w:rFonts w:hint="eastAsia"/>
                <w:sz w:val="21"/>
                <w:szCs w:val="21"/>
                <w:lang w:val="en-US" w:eastAsia="zh-CN"/>
              </w:rPr>
              <w:t>/</w:t>
            </w:r>
            <w:r>
              <w:rPr>
                <w:rFonts w:hint="eastAsia"/>
                <w:sz w:val="21"/>
                <w:szCs w:val="21"/>
              </w:rPr>
              <w:t>9.2/9.3/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sz w:val="21"/>
                <w:szCs w:val="21"/>
              </w:rPr>
              <w:t>管理体系策划情况，过程识别和策划的充分性（包括外包过程）；确定认证范围包括任何不适用及理由的充分性；体系覆盖人数确认</w:t>
            </w:r>
          </w:p>
        </w:tc>
        <w:tc>
          <w:tcPr>
            <w:tcW w:w="960" w:type="dxa"/>
          </w:tcPr>
          <w:p>
            <w:r>
              <w:rPr>
                <w:rFonts w:hint="eastAsia"/>
                <w:sz w:val="21"/>
                <w:szCs w:val="21"/>
                <w:lang w:val="en-US" w:eastAsia="zh-CN"/>
              </w:rPr>
              <w:t xml:space="preserve">QEO </w:t>
            </w:r>
            <w:r>
              <w:rPr>
                <w:rFonts w:hint="eastAsia"/>
                <w:sz w:val="21"/>
                <w:szCs w:val="21"/>
              </w:rPr>
              <w:t>4.1/</w:t>
            </w:r>
            <w:r>
              <w:rPr>
                <w:rFonts w:hint="eastAsia"/>
                <w:sz w:val="21"/>
                <w:szCs w:val="21"/>
                <w:lang w:val="en-US" w:eastAsia="zh-CN"/>
              </w:rPr>
              <w:t>4.2/</w:t>
            </w:r>
            <w:r>
              <w:rPr>
                <w:rFonts w:hint="eastAsia"/>
                <w:sz w:val="21"/>
                <w:szCs w:val="21"/>
              </w:rPr>
              <w:t>4.3/4.4</w:t>
            </w:r>
          </w:p>
        </w:tc>
        <w:tc>
          <w:tcPr>
            <w:tcW w:w="10004" w:type="dxa"/>
          </w:tcPr>
          <w:p>
            <w:pPr>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该</w:t>
            </w:r>
            <w:r>
              <w:rPr>
                <w:rFonts w:hint="eastAsia" w:ascii="宋体" w:hAnsi="宋体" w:eastAsia="宋体" w:cs="Times New Roman"/>
                <w:b w:val="0"/>
                <w:bCs w:val="0"/>
                <w:spacing w:val="6"/>
                <w:kern w:val="2"/>
                <w:sz w:val="21"/>
                <w:szCs w:val="21"/>
                <w:lang w:val="en-US" w:eastAsia="zh-CN" w:bidi="ar-SA"/>
              </w:rPr>
              <w:t>企业策划了质量、环境和职业健康安全管理体系，编制了《河北璐冉建筑工程有限公司质量环境职业健康安全管理手册》A/0版，手册于2020年9月10日发布实施，手册中阐明了公司综合管理方针，明确了管理职责和权限，并对质量、环境和职业健康安全管理体系</w:t>
            </w:r>
            <w:r>
              <w:rPr>
                <w:rFonts w:hint="eastAsia" w:ascii="宋体" w:hAnsi="宋体" w:cs="Times New Roman"/>
                <w:b w:val="0"/>
                <w:bCs w:val="0"/>
                <w:spacing w:val="6"/>
                <w:kern w:val="2"/>
                <w:sz w:val="21"/>
                <w:szCs w:val="21"/>
                <w:lang w:val="en-US" w:eastAsia="zh-CN" w:bidi="ar-SA"/>
              </w:rPr>
              <w:t>进行</w:t>
            </w:r>
            <w:r>
              <w:rPr>
                <w:rFonts w:hint="eastAsia" w:ascii="宋体" w:hAnsi="宋体" w:eastAsia="宋体" w:cs="Times New Roman"/>
                <w:b w:val="0"/>
                <w:bCs w:val="0"/>
                <w:spacing w:val="6"/>
                <w:kern w:val="2"/>
                <w:sz w:val="21"/>
                <w:szCs w:val="21"/>
                <w:lang w:val="en-US" w:eastAsia="zh-CN" w:bidi="ar-SA"/>
              </w:rPr>
              <w:t>了描述，是公司开展质量、环境和职业健康安全管理工作的纲领性文件和行动准则，为满足顾客需求、规范环境行为和员工职业健康安全提供了实施基础。</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手册按照标准要求对</w:t>
            </w:r>
            <w:r>
              <w:rPr>
                <w:rFonts w:hint="eastAsia" w:ascii="宋体" w:hAnsi="宋体" w:eastAsia="宋体" w:cs="Times New Roman"/>
                <w:b w:val="0"/>
                <w:bCs w:val="0"/>
                <w:spacing w:val="6"/>
                <w:kern w:val="2"/>
                <w:sz w:val="21"/>
                <w:szCs w:val="21"/>
                <w:lang w:val="en-US" w:eastAsia="zh-CN" w:bidi="ar-SA"/>
              </w:rPr>
              <w:t>理解组织及其环境</w:t>
            </w:r>
            <w:r>
              <w:rPr>
                <w:rFonts w:hint="eastAsia" w:ascii="宋体" w:hAnsi="宋体" w:cs="Times New Roman"/>
                <w:b w:val="0"/>
                <w:bCs w:val="0"/>
                <w:spacing w:val="6"/>
                <w:kern w:val="2"/>
                <w:sz w:val="21"/>
                <w:szCs w:val="21"/>
                <w:lang w:val="en-US" w:eastAsia="zh-CN" w:bidi="ar-SA"/>
              </w:rPr>
              <w:t>、</w:t>
            </w:r>
            <w:r>
              <w:rPr>
                <w:rFonts w:hint="eastAsia" w:ascii="宋体" w:hAnsi="宋体" w:eastAsia="宋体"/>
                <w:bCs w:val="0"/>
                <w:sz w:val="21"/>
                <w:szCs w:val="21"/>
              </w:rPr>
              <w:t>理解相关方的需求和期望</w:t>
            </w:r>
            <w:r>
              <w:rPr>
                <w:rFonts w:hint="eastAsia" w:ascii="宋体" w:hAnsi="宋体"/>
                <w:bCs w:val="0"/>
                <w:sz w:val="21"/>
                <w:szCs w:val="21"/>
                <w:lang w:val="en-US" w:eastAsia="zh-CN"/>
              </w:rPr>
              <w:t>等内容进行描述；</w:t>
            </w:r>
          </w:p>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ascii="宋体" w:hAnsi="宋体"/>
                <w:spacing w:val="6"/>
                <w:szCs w:val="21"/>
              </w:rPr>
            </w:pPr>
            <w:r>
              <w:rPr>
                <w:rFonts w:hint="eastAsia" w:ascii="宋体" w:hAnsi="宋体"/>
                <w:spacing w:val="6"/>
                <w:szCs w:val="21"/>
              </w:rPr>
              <w:t xml:space="preserve">外部的环境，可以考虑国际、国家、地区或当地的法律法规、技术、竞争、市场、文化、社会和经济因素，有助于理解外部环境；  </w:t>
            </w:r>
          </w:p>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ascii="宋体" w:hAnsi="宋体"/>
                <w:spacing w:val="6"/>
                <w:szCs w:val="21"/>
              </w:rPr>
            </w:pPr>
            <w:r>
              <w:rPr>
                <w:rFonts w:hint="eastAsia" w:ascii="宋体" w:hAnsi="宋体"/>
                <w:spacing w:val="6"/>
                <w:szCs w:val="21"/>
              </w:rPr>
              <w:t xml:space="preserve">内部环境，可以考虑组织的价值观、文化、知识和绩效等相关因素，有助于理解内部环境。  </w:t>
            </w:r>
          </w:p>
          <w:p>
            <w:pPr>
              <w:pStyle w:val="7"/>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Ansi="宋体"/>
                <w:sz w:val="21"/>
                <w:szCs w:val="21"/>
              </w:rPr>
            </w:pPr>
            <w:r>
              <w:rPr>
                <w:rFonts w:hint="eastAsia" w:hAnsi="宋体"/>
                <w:sz w:val="21"/>
                <w:szCs w:val="21"/>
                <w:lang w:val="en-US" w:eastAsia="zh-CN"/>
              </w:rPr>
              <w:t>对</w:t>
            </w:r>
            <w:r>
              <w:rPr>
                <w:rFonts w:hint="eastAsia" w:hAnsi="宋体"/>
                <w:sz w:val="21"/>
                <w:szCs w:val="21"/>
              </w:rPr>
              <w:t>外包过程（劳务分包）</w:t>
            </w:r>
            <w:r>
              <w:rPr>
                <w:rFonts w:hint="eastAsia" w:hAnsi="宋体"/>
                <w:sz w:val="21"/>
                <w:szCs w:val="21"/>
                <w:lang w:val="en-US" w:eastAsia="zh-CN"/>
              </w:rPr>
              <w:t>进行</w:t>
            </w:r>
            <w:r>
              <w:rPr>
                <w:rFonts w:hint="eastAsia" w:hAnsi="宋体"/>
                <w:sz w:val="21"/>
                <w:szCs w:val="21"/>
              </w:rPr>
              <w:t>控制，依据外包过程影响本公司所提供产品和服务符合性的重要程度以及双方在外包过程控制中所承担的责任，对外包方从公司性质、管理体系、人员、设备、服务质量等多方面进行调查、评价，确定控制类型和程度并采取适当的控制措施。</w:t>
            </w:r>
          </w:p>
          <w:p>
            <w:pPr>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ascii="宋体" w:hAnsi="宋体"/>
                <w:b/>
                <w:color w:val="000000"/>
                <w:szCs w:val="21"/>
              </w:rPr>
            </w:pPr>
            <w:r>
              <w:rPr>
                <w:rFonts w:hint="eastAsia" w:hAnsi="宋体"/>
                <w:szCs w:val="21"/>
              </w:rPr>
              <w:t>本公司暂无外包过程</w:t>
            </w:r>
            <w:r>
              <w:rPr>
                <w:rFonts w:hint="eastAsia" w:ascii="宋体" w:hAnsi="宋体"/>
                <w:b/>
                <w:color w:val="000000"/>
                <w:szCs w:val="21"/>
              </w:rPr>
              <w:t>。</w:t>
            </w:r>
          </w:p>
          <w:p>
            <w:pPr>
              <w:pageBreakBefore w:val="0"/>
              <w:widowControl w:val="0"/>
              <w:kinsoku/>
              <w:wordWrap/>
              <w:overflowPunct/>
              <w:topLinePunct w:val="0"/>
              <w:autoSpaceDE/>
              <w:autoSpaceDN/>
              <w:bidi w:val="0"/>
              <w:adjustRightInd/>
              <w:snapToGrid/>
              <w:spacing w:before="157" w:beforeLines="50" w:line="240" w:lineRule="auto"/>
              <w:textAlignment w:val="auto"/>
              <w:rPr>
                <w:rFonts w:ascii="宋体" w:hAnsi="宋体"/>
                <w:spacing w:val="6"/>
                <w:szCs w:val="21"/>
              </w:rPr>
            </w:pPr>
            <w:bookmarkStart w:id="0" w:name="_Toc164481769"/>
            <w:bookmarkStart w:id="1" w:name="_Toc164481870"/>
            <w:bookmarkStart w:id="2" w:name="_Toc164482052"/>
            <w:r>
              <w:rPr>
                <w:rFonts w:hint="eastAsia" w:ascii="宋体" w:hAnsi="宋体"/>
                <w:spacing w:val="6"/>
                <w:szCs w:val="21"/>
                <w:lang w:val="en-US" w:eastAsia="zh-CN"/>
              </w:rPr>
              <w:t>对</w:t>
            </w:r>
            <w:r>
              <w:rPr>
                <w:rFonts w:hint="eastAsia" w:ascii="宋体" w:hAnsi="宋体"/>
                <w:spacing w:val="6"/>
                <w:szCs w:val="21"/>
              </w:rPr>
              <w:t>相关</w:t>
            </w:r>
            <w:r>
              <w:rPr>
                <w:rFonts w:hint="eastAsia" w:ascii="宋体" w:hAnsi="宋体"/>
                <w:spacing w:val="6"/>
                <w:szCs w:val="21"/>
                <w:lang w:val="en-US" w:eastAsia="zh-CN"/>
              </w:rPr>
              <w:t>方</w:t>
            </w:r>
            <w:r>
              <w:rPr>
                <w:rFonts w:hint="eastAsia" w:ascii="宋体" w:hAnsi="宋体"/>
                <w:spacing w:val="6"/>
                <w:szCs w:val="21"/>
              </w:rPr>
              <w:t>的确定：</w:t>
            </w:r>
            <w:r>
              <w:rPr>
                <w:rFonts w:ascii="宋体" w:hAnsi="宋体"/>
                <w:spacing w:val="6"/>
                <w:szCs w:val="21"/>
              </w:rPr>
              <w:t xml:space="preserve"> </w:t>
            </w:r>
          </w:p>
          <w:p>
            <w:pPr>
              <w:pageBreakBefore w:val="0"/>
              <w:widowControl w:val="0"/>
              <w:kinsoku/>
              <w:wordWrap/>
              <w:overflowPunct/>
              <w:topLinePunct w:val="0"/>
              <w:autoSpaceDE/>
              <w:autoSpaceDN/>
              <w:bidi w:val="0"/>
              <w:adjustRightInd/>
              <w:snapToGrid/>
              <w:spacing w:before="157" w:beforeLines="50" w:line="240" w:lineRule="auto"/>
              <w:ind w:firstLine="317" w:firstLineChars="143"/>
              <w:textAlignment w:val="auto"/>
              <w:rPr>
                <w:rFonts w:hint="eastAsia" w:ascii="宋体" w:hAnsi="宋体" w:eastAsia="宋体"/>
                <w:spacing w:val="6"/>
                <w:szCs w:val="21"/>
                <w:lang w:val="en-US" w:eastAsia="zh-CN"/>
              </w:rPr>
            </w:pPr>
            <w:r>
              <w:rPr>
                <w:rFonts w:hint="eastAsia" w:ascii="宋体" w:hAnsi="宋体"/>
                <w:spacing w:val="6"/>
                <w:szCs w:val="21"/>
              </w:rPr>
              <w:t>与质量和环境</w:t>
            </w:r>
            <w:r>
              <w:rPr>
                <w:rFonts w:hint="eastAsia" w:ascii="宋体" w:hAnsi="宋体"/>
                <w:spacing w:val="6"/>
                <w:szCs w:val="21"/>
                <w:lang w:val="en-US" w:eastAsia="zh-CN"/>
              </w:rPr>
              <w:t>及职业健康安全</w:t>
            </w:r>
            <w:r>
              <w:rPr>
                <w:rFonts w:hint="eastAsia" w:ascii="宋体" w:hAnsi="宋体"/>
                <w:spacing w:val="6"/>
                <w:szCs w:val="21"/>
              </w:rPr>
              <w:t>管理体系有关的相关方，如顾客、最终用户、股东、银行、外部供应商、员工及监管部门等；按相关文件的规定要求，确定这些相关方的需求和期望（即要求）</w:t>
            </w:r>
            <w:r>
              <w:rPr>
                <w:rFonts w:hint="eastAsia" w:ascii="宋体" w:hAnsi="宋体"/>
                <w:spacing w:val="6"/>
                <w:szCs w:val="21"/>
                <w:lang w:eastAsia="zh-CN"/>
              </w:rPr>
              <w:t>；</w:t>
            </w:r>
            <w:r>
              <w:rPr>
                <w:rFonts w:hint="eastAsia" w:ascii="宋体" w:hAnsi="宋体"/>
                <w:spacing w:val="6"/>
                <w:szCs w:val="21"/>
              </w:rPr>
              <w:t>这些相关方的需求和期望中哪些将成为其合规义务。</w:t>
            </w:r>
            <w:r>
              <w:rPr>
                <w:rFonts w:hint="eastAsia" w:ascii="宋体" w:hAnsi="宋体"/>
                <w:spacing w:val="6"/>
                <w:szCs w:val="21"/>
                <w:lang w:val="en-US" w:eastAsia="zh-CN"/>
              </w:rPr>
              <w:t>并</w:t>
            </w:r>
            <w:r>
              <w:rPr>
                <w:rFonts w:hint="eastAsia" w:ascii="宋体" w:hAnsi="宋体"/>
                <w:spacing w:val="6"/>
                <w:szCs w:val="21"/>
              </w:rPr>
              <w:t>对这些相关方及其要求的相关信息进行定期的监视和评审。</w:t>
            </w:r>
            <w:r>
              <w:rPr>
                <w:rFonts w:ascii="宋体" w:hAnsi="宋体"/>
                <w:spacing w:val="6"/>
                <w:szCs w:val="21"/>
              </w:rPr>
              <w:t xml:space="preserve"> </w:t>
            </w:r>
          </w:p>
          <w:bookmarkEnd w:id="0"/>
          <w:bookmarkEnd w:id="1"/>
          <w:bookmarkEnd w:id="2"/>
          <w:p>
            <w:pPr>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宋体" w:eastAsia="宋体" w:cs="Times New Roman"/>
                <w:b w:val="0"/>
                <w:bCs w:val="0"/>
                <w:spacing w:val="6"/>
                <w:kern w:val="2"/>
                <w:sz w:val="21"/>
                <w:szCs w:val="21"/>
                <w:lang w:val="en-US" w:eastAsia="zh-CN" w:bidi="ar-SA"/>
              </w:rPr>
            </w:pPr>
            <w:bookmarkStart w:id="3" w:name="_Toc503341140"/>
            <w:r>
              <w:rPr>
                <w:rFonts w:hint="eastAsia" w:ascii="宋体" w:hAnsi="宋体" w:eastAsia="宋体"/>
                <w:bCs w:val="0"/>
                <w:sz w:val="21"/>
                <w:szCs w:val="21"/>
              </w:rPr>
              <w:t xml:space="preserve"> </w:t>
            </w:r>
            <w:r>
              <w:rPr>
                <w:rFonts w:hint="eastAsia" w:ascii="宋体" w:hAnsi="宋体" w:eastAsia="宋体" w:cs="Times New Roman"/>
                <w:b w:val="0"/>
                <w:bCs w:val="0"/>
                <w:spacing w:val="6"/>
                <w:kern w:val="2"/>
                <w:sz w:val="21"/>
                <w:szCs w:val="21"/>
                <w:lang w:val="en-US" w:eastAsia="zh-CN" w:bidi="ar-SA"/>
              </w:rPr>
              <w:t>质量、环境、职业健康安全管理体系范围</w:t>
            </w:r>
            <w:bookmarkEnd w:id="3"/>
            <w:r>
              <w:rPr>
                <w:rFonts w:hint="eastAsia" w:ascii="宋体" w:hAnsi="宋体" w:eastAsia="宋体" w:cs="Times New Roman"/>
                <w:b w:val="0"/>
                <w:bCs w:val="0"/>
                <w:spacing w:val="6"/>
                <w:kern w:val="2"/>
                <w:sz w:val="21"/>
                <w:szCs w:val="21"/>
                <w:lang w:val="en-US" w:eastAsia="zh-CN" w:bidi="ar-SA"/>
              </w:rPr>
              <w:t>：位于河北省石家庄市新华区中华北大街559号东岸尚园4-2-102</w:t>
            </w:r>
            <w:r>
              <w:rPr>
                <w:rFonts w:hint="eastAsia" w:ascii="宋体" w:hAnsi="宋体" w:eastAsia="宋体" w:cs="Times New Roman"/>
                <w:b w:val="0"/>
                <w:bCs w:val="0"/>
                <w:spacing w:val="6"/>
                <w:kern w:val="2"/>
                <w:sz w:val="21"/>
                <w:szCs w:val="21"/>
                <w:lang w:val="en-US" w:eastAsia="zh-CN" w:bidi="ar-SA"/>
              </w:rPr>
              <w:tab/>
            </w:r>
            <w:r>
              <w:rPr>
                <w:rFonts w:hint="eastAsia" w:ascii="宋体" w:hAnsi="宋体" w:eastAsia="宋体" w:cs="Times New Roman"/>
                <w:b w:val="0"/>
                <w:bCs w:val="0"/>
                <w:spacing w:val="6"/>
                <w:kern w:val="2"/>
                <w:sz w:val="21"/>
                <w:szCs w:val="21"/>
                <w:lang w:val="en-US" w:eastAsia="zh-CN" w:bidi="ar-SA"/>
              </w:rPr>
              <w:t>的河北璐冉建筑工程有限公司，</w:t>
            </w:r>
            <w:r>
              <w:rPr>
                <w:rFonts w:hint="eastAsia" w:ascii="宋体" w:hAnsi="宋体"/>
                <w:spacing w:val="6"/>
                <w:szCs w:val="21"/>
              </w:rPr>
              <w:t>适用于管理体系活动范围所涉及的办公、固定生产场所、临时工程项目部、临时仓储及生活场所</w:t>
            </w:r>
            <w:r>
              <w:rPr>
                <w:rFonts w:hint="eastAsia" w:ascii="宋体" w:hAnsi="宋体"/>
                <w:spacing w:val="6"/>
                <w:szCs w:val="21"/>
                <w:lang w:eastAsia="zh-CN"/>
              </w:rPr>
              <w:t>；</w:t>
            </w:r>
            <w:r>
              <w:rPr>
                <w:rFonts w:hint="eastAsia" w:ascii="宋体" w:hAnsi="宋体" w:eastAsia="宋体" w:cs="Times New Roman"/>
                <w:b w:val="0"/>
                <w:bCs w:val="0"/>
                <w:spacing w:val="6"/>
                <w:kern w:val="2"/>
                <w:sz w:val="21"/>
                <w:szCs w:val="21"/>
                <w:lang w:val="en-US" w:eastAsia="zh-CN" w:bidi="ar-SA"/>
              </w:rPr>
              <w:t xml:space="preserve">与建筑工程劳务分包（劳务派遣除外）所涉及的部门和施工场所的的质量、环境和职业健康安全管理活动。 </w:t>
            </w:r>
          </w:p>
          <w:p>
            <w:pPr>
              <w:pageBreakBefore w:val="0"/>
              <w:widowControl w:val="0"/>
              <w:kinsoku/>
              <w:wordWrap/>
              <w:overflowPunct/>
              <w:topLinePunct w:val="0"/>
              <w:autoSpaceDE/>
              <w:autoSpaceDN/>
              <w:bidi w:val="0"/>
              <w:adjustRightInd/>
              <w:snapToGrid/>
              <w:spacing w:before="157" w:beforeLines="50" w:line="240" w:lineRule="auto"/>
              <w:textAlignment w:val="auto"/>
              <w:rPr>
                <w:rFonts w:hint="default" w:eastAsia="宋体"/>
                <w:lang w:val="en-US" w:eastAsia="zh-CN"/>
              </w:rPr>
            </w:pPr>
            <w:r>
              <w:rPr>
                <w:rFonts w:hint="eastAsia"/>
                <w:lang w:val="en-US" w:eastAsia="zh-CN"/>
              </w:rPr>
              <w:t>确认人数：行政管理人员5人，现场外包人员20人，（查协议书）劳务作业人员20人（发包人：河北章驰管道安装工程有限公司）。查社保缴纳人员5人（劳动合同），工伤保险缴纳20人（劳务合同）。见企业提供证据。</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sz w:val="21"/>
                <w:szCs w:val="21"/>
              </w:rPr>
              <w:t>管理方针和目标的适宜性；</w:t>
            </w:r>
          </w:p>
        </w:tc>
        <w:tc>
          <w:tcPr>
            <w:tcW w:w="960" w:type="dxa"/>
          </w:tcPr>
          <w:p>
            <w:r>
              <w:rPr>
                <w:rFonts w:hint="eastAsia"/>
                <w:sz w:val="21"/>
                <w:szCs w:val="21"/>
                <w:lang w:val="en-US" w:eastAsia="zh-CN"/>
              </w:rPr>
              <w:t xml:space="preserve">QEO </w:t>
            </w:r>
            <w:r>
              <w:rPr>
                <w:rFonts w:hint="eastAsia"/>
                <w:sz w:val="21"/>
                <w:szCs w:val="21"/>
              </w:rPr>
              <w:t>5.2/6.2</w:t>
            </w:r>
          </w:p>
        </w:tc>
        <w:tc>
          <w:tcPr>
            <w:tcW w:w="10004" w:type="dxa"/>
          </w:tcPr>
          <w:p>
            <w:pPr>
              <w:pStyle w:val="3"/>
              <w:spacing w:before="0" w:after="0" w:line="240" w:lineRule="auto"/>
              <w:rPr>
                <w:rFonts w:hint="default" w:ascii="宋体" w:hAnsi="宋体" w:eastAsia="宋体"/>
                <w:b w:val="0"/>
                <w:kern w:val="21"/>
                <w:sz w:val="21"/>
                <w:szCs w:val="21"/>
                <w:lang w:val="en-US" w:eastAsia="zh-CN"/>
              </w:rPr>
            </w:pPr>
            <w:r>
              <w:rPr>
                <w:rFonts w:hint="eastAsia" w:ascii="宋体" w:hAnsi="宋体"/>
                <w:b w:val="0"/>
                <w:kern w:val="21"/>
                <w:sz w:val="21"/>
                <w:szCs w:val="21"/>
              </w:rPr>
              <w:t>质量、环境、职业健康安全</w:t>
            </w:r>
            <w:r>
              <w:rPr>
                <w:rFonts w:hint="eastAsia" w:ascii="宋体" w:hAnsi="宋体"/>
                <w:b w:val="0"/>
                <w:kern w:val="21"/>
                <w:sz w:val="21"/>
                <w:szCs w:val="21"/>
                <w:lang w:val="en-US" w:eastAsia="zh-CN"/>
              </w:rPr>
              <w:t>管理体系</w:t>
            </w:r>
            <w:r>
              <w:rPr>
                <w:rFonts w:hint="eastAsia" w:ascii="宋体" w:hAnsi="宋体"/>
                <w:b w:val="0"/>
                <w:kern w:val="21"/>
                <w:sz w:val="21"/>
                <w:szCs w:val="21"/>
              </w:rPr>
              <w:t>方针</w:t>
            </w:r>
            <w:r>
              <w:rPr>
                <w:rFonts w:hint="eastAsia" w:ascii="宋体" w:hAnsi="宋体"/>
                <w:b w:val="0"/>
                <w:kern w:val="21"/>
                <w:sz w:val="21"/>
                <w:szCs w:val="21"/>
                <w:lang w:val="en-US" w:eastAsia="zh-CN"/>
              </w:rPr>
              <w:t>和</w:t>
            </w:r>
            <w:r>
              <w:rPr>
                <w:rFonts w:hint="eastAsia" w:ascii="宋体" w:hAnsi="宋体"/>
                <w:b w:val="0"/>
                <w:kern w:val="21"/>
                <w:sz w:val="21"/>
                <w:szCs w:val="21"/>
              </w:rPr>
              <w:t>目标指标</w:t>
            </w:r>
            <w:r>
              <w:rPr>
                <w:rFonts w:hint="eastAsia" w:ascii="宋体" w:hAnsi="宋体"/>
                <w:b w:val="0"/>
                <w:kern w:val="21"/>
                <w:sz w:val="21"/>
                <w:szCs w:val="21"/>
                <w:lang w:val="en-US" w:eastAsia="zh-CN"/>
              </w:rPr>
              <w:t>的适宜性。</w:t>
            </w:r>
          </w:p>
          <w:p>
            <w:pPr>
              <w:adjustRightInd w:val="0"/>
              <w:snapToGrid w:val="0"/>
              <w:spacing w:line="340" w:lineRule="exact"/>
              <w:rPr>
                <w:rFonts w:ascii="宋体" w:hAnsi="宋体"/>
                <w:bCs/>
                <w:szCs w:val="21"/>
              </w:rPr>
            </w:pPr>
            <w:r>
              <w:rPr>
                <w:rFonts w:hint="eastAsia" w:ascii="宋体" w:hAnsi="宋体"/>
                <w:bCs/>
                <w:szCs w:val="21"/>
              </w:rPr>
              <w:t>公司质量、环境、职业健康安全方针：</w:t>
            </w:r>
          </w:p>
          <w:p>
            <w:pPr>
              <w:spacing w:line="400" w:lineRule="exact"/>
              <w:rPr>
                <w:rFonts w:ascii="宋体" w:hAnsi="宋体"/>
                <w:bCs/>
                <w:color w:val="000000"/>
                <w:szCs w:val="21"/>
              </w:rPr>
            </w:pPr>
            <w:r>
              <w:rPr>
                <w:rFonts w:hint="eastAsia" w:ascii="宋体" w:hAnsi="宋体"/>
                <w:bCs/>
                <w:color w:val="000000"/>
                <w:szCs w:val="21"/>
              </w:rPr>
              <w:t>管理方针： 安全第一、保障健康</w:t>
            </w:r>
            <w:r>
              <w:rPr>
                <w:rFonts w:ascii="宋体" w:hAnsi="宋体"/>
                <w:bCs/>
                <w:color w:val="000000"/>
                <w:szCs w:val="21"/>
              </w:rPr>
              <w:t xml:space="preserve">  </w:t>
            </w:r>
            <w:r>
              <w:rPr>
                <w:rFonts w:hint="eastAsia" w:ascii="宋体" w:hAnsi="宋体"/>
                <w:bCs/>
                <w:color w:val="000000"/>
                <w:szCs w:val="21"/>
              </w:rPr>
              <w:t>质量为本、规范施工</w:t>
            </w:r>
          </w:p>
          <w:p>
            <w:pPr>
              <w:spacing w:line="340" w:lineRule="exact"/>
              <w:ind w:firstLine="1260" w:firstLineChars="600"/>
              <w:jc w:val="both"/>
              <w:rPr>
                <w:rFonts w:ascii="宋体" w:hAnsi="宋体"/>
                <w:bCs/>
                <w:color w:val="000000"/>
                <w:szCs w:val="21"/>
              </w:rPr>
            </w:pPr>
            <w:r>
              <w:rPr>
                <w:rFonts w:hint="eastAsia" w:ascii="宋体" w:hAnsi="宋体"/>
                <w:bCs/>
                <w:color w:val="000000"/>
                <w:szCs w:val="21"/>
              </w:rPr>
              <w:t>减少污染、节能降耗 遵纪守法、持续改进</w:t>
            </w:r>
          </w:p>
          <w:p>
            <w:pPr>
              <w:spacing w:line="340" w:lineRule="exact"/>
              <w:jc w:val="center"/>
              <w:rPr>
                <w:rFonts w:ascii="宋体" w:hAnsi="宋体" w:cs="Arial"/>
                <w:sz w:val="24"/>
                <w:szCs w:val="28"/>
              </w:rPr>
            </w:pPr>
          </w:p>
          <w:p>
            <w:pPr>
              <w:spacing w:line="340" w:lineRule="exact"/>
              <w:rPr>
                <w:rFonts w:ascii="宋体" w:hAnsi="宋体"/>
                <w:bCs/>
                <w:color w:val="000000"/>
                <w:szCs w:val="21"/>
              </w:rPr>
            </w:pPr>
            <w:r>
              <w:rPr>
                <w:rFonts w:hint="eastAsia" w:ascii="宋体" w:hAnsi="宋体"/>
                <w:bCs/>
                <w:color w:val="000000"/>
                <w:szCs w:val="21"/>
              </w:rPr>
              <w:t>公司质量、环境和职业健康安全目标：</w:t>
            </w:r>
          </w:p>
          <w:p>
            <w:pPr>
              <w:spacing w:line="340" w:lineRule="exact"/>
              <w:rPr>
                <w:rFonts w:ascii="宋体" w:hAnsi="宋体"/>
                <w:bCs/>
                <w:color w:val="000000"/>
                <w:szCs w:val="21"/>
              </w:rPr>
            </w:pPr>
            <w:r>
              <w:rPr>
                <w:rFonts w:hint="eastAsia" w:ascii="宋体" w:hAnsi="宋体"/>
                <w:bCs/>
                <w:color w:val="000000"/>
                <w:szCs w:val="21"/>
              </w:rPr>
              <w:t>1.</w:t>
            </w:r>
            <w:r>
              <w:rPr>
                <w:rFonts w:hint="eastAsia" w:ascii="宋体" w:hAnsi="宋体"/>
                <w:bCs/>
                <w:color w:val="000000"/>
                <w:szCs w:val="21"/>
              </w:rPr>
              <w:tab/>
            </w:r>
            <w:r>
              <w:rPr>
                <w:rFonts w:hint="eastAsia" w:ascii="宋体" w:hAnsi="宋体"/>
                <w:bCs/>
                <w:color w:val="000000"/>
                <w:szCs w:val="21"/>
              </w:rPr>
              <w:t>工程竣工一次验收合格率95%以上；</w:t>
            </w:r>
          </w:p>
          <w:p>
            <w:pPr>
              <w:spacing w:line="340" w:lineRule="exact"/>
              <w:rPr>
                <w:rFonts w:ascii="宋体" w:hAnsi="宋体"/>
                <w:bCs/>
                <w:color w:val="000000"/>
                <w:szCs w:val="21"/>
              </w:rPr>
            </w:pPr>
            <w:r>
              <w:rPr>
                <w:rFonts w:hint="eastAsia" w:ascii="宋体" w:hAnsi="宋体"/>
                <w:bCs/>
                <w:color w:val="000000"/>
                <w:szCs w:val="21"/>
              </w:rPr>
              <w:t>2.</w:t>
            </w:r>
            <w:r>
              <w:rPr>
                <w:rFonts w:hint="eastAsia" w:ascii="宋体" w:hAnsi="宋体"/>
                <w:bCs/>
                <w:color w:val="000000"/>
                <w:szCs w:val="21"/>
              </w:rPr>
              <w:tab/>
            </w:r>
            <w:r>
              <w:rPr>
                <w:rFonts w:hint="eastAsia" w:ascii="宋体" w:hAnsi="宋体"/>
                <w:bCs/>
                <w:color w:val="000000"/>
                <w:szCs w:val="21"/>
              </w:rPr>
              <w:t>顾客满意程度90分以上；</w:t>
            </w:r>
          </w:p>
          <w:p>
            <w:pPr>
              <w:spacing w:line="340" w:lineRule="exact"/>
              <w:rPr>
                <w:rFonts w:ascii="宋体" w:hAnsi="宋体"/>
                <w:bCs/>
                <w:color w:val="000000"/>
                <w:szCs w:val="21"/>
              </w:rPr>
            </w:pPr>
            <w:r>
              <w:rPr>
                <w:rFonts w:hint="eastAsia" w:ascii="宋体" w:hAnsi="宋体"/>
                <w:bCs/>
                <w:color w:val="000000"/>
                <w:szCs w:val="21"/>
              </w:rPr>
              <w:t>3.</w:t>
            </w:r>
            <w:r>
              <w:rPr>
                <w:rFonts w:hint="eastAsia" w:ascii="宋体" w:hAnsi="宋体"/>
                <w:bCs/>
                <w:color w:val="000000"/>
                <w:szCs w:val="21"/>
              </w:rPr>
              <w:tab/>
            </w:r>
            <w:r>
              <w:rPr>
                <w:rFonts w:hint="eastAsia" w:ascii="宋体" w:hAnsi="宋体"/>
                <w:bCs/>
                <w:color w:val="000000"/>
                <w:szCs w:val="21"/>
              </w:rPr>
              <w:t>合同履约率100%；</w:t>
            </w:r>
          </w:p>
          <w:p>
            <w:pPr>
              <w:spacing w:line="340" w:lineRule="exact"/>
              <w:rPr>
                <w:rFonts w:ascii="宋体" w:hAnsi="宋体"/>
                <w:bCs/>
                <w:color w:val="000000"/>
                <w:szCs w:val="21"/>
              </w:rPr>
            </w:pPr>
            <w:r>
              <w:rPr>
                <w:rFonts w:hint="eastAsia" w:ascii="宋体" w:hAnsi="宋体"/>
                <w:bCs/>
                <w:color w:val="000000"/>
                <w:szCs w:val="21"/>
              </w:rPr>
              <w:t>4.</w:t>
            </w:r>
            <w:r>
              <w:rPr>
                <w:rFonts w:hint="eastAsia" w:ascii="宋体" w:hAnsi="宋体"/>
                <w:bCs/>
                <w:color w:val="000000"/>
                <w:szCs w:val="21"/>
              </w:rPr>
              <w:tab/>
            </w:r>
            <w:r>
              <w:rPr>
                <w:rFonts w:hint="eastAsia" w:ascii="宋体" w:hAnsi="宋体"/>
                <w:bCs/>
                <w:color w:val="000000"/>
                <w:szCs w:val="21"/>
              </w:rPr>
              <w:t>固体废弃物分类收集回收率95%以上；</w:t>
            </w:r>
          </w:p>
          <w:p>
            <w:pPr>
              <w:spacing w:line="340" w:lineRule="exact"/>
              <w:rPr>
                <w:rFonts w:ascii="宋体" w:hAnsi="宋体"/>
                <w:bCs/>
                <w:color w:val="000000"/>
                <w:szCs w:val="21"/>
              </w:rPr>
            </w:pPr>
            <w:r>
              <w:rPr>
                <w:rFonts w:hint="eastAsia" w:ascii="宋体" w:hAnsi="宋体"/>
                <w:bCs/>
                <w:color w:val="000000"/>
                <w:szCs w:val="21"/>
              </w:rPr>
              <w:t>5.</w:t>
            </w:r>
            <w:r>
              <w:rPr>
                <w:rFonts w:hint="eastAsia" w:ascii="宋体" w:hAnsi="宋体"/>
                <w:bCs/>
                <w:color w:val="000000"/>
                <w:szCs w:val="21"/>
              </w:rPr>
              <w:tab/>
            </w:r>
            <w:r>
              <w:rPr>
                <w:rFonts w:hint="eastAsia" w:ascii="宋体" w:hAnsi="宋体"/>
                <w:bCs/>
                <w:color w:val="000000"/>
                <w:szCs w:val="21"/>
              </w:rPr>
              <w:t>环境污染事故控制为0；</w:t>
            </w:r>
          </w:p>
          <w:p>
            <w:pPr>
              <w:spacing w:line="340" w:lineRule="exact"/>
              <w:rPr>
                <w:rFonts w:ascii="宋体" w:hAnsi="宋体"/>
                <w:bCs/>
                <w:color w:val="000000"/>
                <w:szCs w:val="21"/>
              </w:rPr>
            </w:pPr>
            <w:r>
              <w:rPr>
                <w:rFonts w:hint="eastAsia" w:ascii="宋体" w:hAnsi="宋体"/>
                <w:bCs/>
                <w:color w:val="000000"/>
                <w:szCs w:val="21"/>
              </w:rPr>
              <w:t>6.</w:t>
            </w:r>
            <w:r>
              <w:rPr>
                <w:rFonts w:hint="eastAsia" w:ascii="宋体" w:hAnsi="宋体"/>
                <w:bCs/>
                <w:color w:val="000000"/>
                <w:szCs w:val="21"/>
              </w:rPr>
              <w:tab/>
            </w:r>
            <w:r>
              <w:rPr>
                <w:rFonts w:hint="eastAsia" w:ascii="宋体" w:hAnsi="宋体"/>
                <w:bCs/>
                <w:color w:val="000000"/>
                <w:szCs w:val="21"/>
              </w:rPr>
              <w:t>杜绝火灾隐患，火灾发生率0；</w:t>
            </w:r>
          </w:p>
          <w:p>
            <w:pPr>
              <w:spacing w:line="340" w:lineRule="exact"/>
            </w:pPr>
            <w:r>
              <w:rPr>
                <w:rFonts w:hint="eastAsia" w:ascii="宋体" w:hAnsi="宋体"/>
                <w:bCs/>
                <w:color w:val="000000"/>
                <w:szCs w:val="21"/>
              </w:rPr>
              <w:t>7.</w:t>
            </w:r>
            <w:r>
              <w:rPr>
                <w:rFonts w:hint="eastAsia" w:ascii="宋体" w:hAnsi="宋体"/>
                <w:bCs/>
                <w:color w:val="000000"/>
                <w:szCs w:val="21"/>
              </w:rPr>
              <w:tab/>
            </w:r>
            <w:r>
              <w:rPr>
                <w:rFonts w:hint="eastAsia" w:ascii="宋体" w:hAnsi="宋体"/>
                <w:bCs/>
                <w:color w:val="000000"/>
                <w:szCs w:val="21"/>
              </w:rPr>
              <w:t>安全事故发生率0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r>
              <w:rPr>
                <w:rFonts w:hint="eastAsia"/>
                <w:sz w:val="21"/>
                <w:szCs w:val="21"/>
              </w:rPr>
              <w:t>基础资源条件；</w:t>
            </w:r>
          </w:p>
        </w:tc>
        <w:tc>
          <w:tcPr>
            <w:tcW w:w="960" w:type="dxa"/>
          </w:tcPr>
          <w:p>
            <w:r>
              <w:rPr>
                <w:rFonts w:hint="eastAsia"/>
                <w:sz w:val="21"/>
                <w:szCs w:val="21"/>
                <w:lang w:val="en-US" w:eastAsia="zh-CN"/>
              </w:rPr>
              <w:t xml:space="preserve">QEO </w:t>
            </w:r>
            <w:r>
              <w:rPr>
                <w:rFonts w:hint="eastAsia"/>
                <w:sz w:val="21"/>
                <w:szCs w:val="21"/>
              </w:rPr>
              <w:t>7.1</w:t>
            </w:r>
          </w:p>
        </w:tc>
        <w:tc>
          <w:tcPr>
            <w:tcW w:w="10004" w:type="dxa"/>
          </w:tcPr>
          <w:p>
            <w:pPr>
              <w:keepNext w:val="0"/>
              <w:keepLines w:val="0"/>
              <w:pageBreakBefore w:val="0"/>
              <w:widowControl w:val="0"/>
              <w:kinsoku/>
              <w:wordWrap/>
              <w:overflowPunct/>
              <w:topLinePunct w:val="0"/>
              <w:bidi w:val="0"/>
              <w:spacing w:before="157" w:beforeLines="50" w:line="240" w:lineRule="auto"/>
              <w:textAlignment w:val="auto"/>
              <w:rPr>
                <w:rFonts w:ascii="宋体" w:hAnsi="宋体"/>
                <w:color w:val="000000"/>
                <w:szCs w:val="21"/>
              </w:rPr>
            </w:pPr>
            <w:r>
              <w:rPr>
                <w:rFonts w:hint="eastAsia" w:ascii="宋体" w:hAnsi="宋体"/>
                <w:color w:val="000000"/>
                <w:szCs w:val="21"/>
                <w:lang w:val="en-US" w:eastAsia="zh-CN"/>
              </w:rPr>
              <w:t>该企业</w:t>
            </w:r>
            <w:r>
              <w:rPr>
                <w:rFonts w:ascii="宋体" w:hAnsi="宋体"/>
                <w:color w:val="000000"/>
                <w:szCs w:val="21"/>
              </w:rPr>
              <w:t>识别、提供和维护为保护环境、保障职业健康安全</w:t>
            </w:r>
            <w:r>
              <w:rPr>
                <w:rFonts w:hint="eastAsia" w:ascii="宋体" w:hAnsi="宋体"/>
                <w:color w:val="000000"/>
                <w:szCs w:val="21"/>
                <w:lang w:val="en-US" w:eastAsia="zh-CN"/>
              </w:rPr>
              <w:t>和确保质量</w:t>
            </w:r>
            <w:r>
              <w:rPr>
                <w:rFonts w:ascii="宋体" w:hAnsi="宋体"/>
                <w:color w:val="000000"/>
                <w:szCs w:val="21"/>
              </w:rPr>
              <w:t>所需要的</w:t>
            </w:r>
            <w:r>
              <w:rPr>
                <w:rFonts w:hint="eastAsia" w:ascii="宋体" w:hAnsi="宋体"/>
                <w:color w:val="000000"/>
                <w:szCs w:val="21"/>
                <w:lang w:val="en-US" w:eastAsia="zh-CN"/>
              </w:rPr>
              <w:t>基础</w:t>
            </w:r>
            <w:r>
              <w:rPr>
                <w:rFonts w:ascii="宋体" w:hAnsi="宋体"/>
                <w:color w:val="000000"/>
                <w:szCs w:val="21"/>
              </w:rPr>
              <w:t>设施。包括：</w:t>
            </w:r>
            <w:r>
              <w:rPr>
                <w:rFonts w:hint="eastAsia" w:ascii="宋体" w:hAnsi="宋体"/>
                <w:color w:val="000000"/>
                <w:szCs w:val="21"/>
                <w:lang w:val="en-US" w:eastAsia="zh-CN"/>
              </w:rPr>
              <w:t>公司办公室</w:t>
            </w:r>
            <w:r>
              <w:rPr>
                <w:rFonts w:ascii="宋体" w:hAnsi="宋体"/>
                <w:color w:val="000000"/>
                <w:szCs w:val="21"/>
              </w:rPr>
              <w:t>、工作场所及其相应的配套设施（环保、安全设施等）；设备</w:t>
            </w:r>
            <w:r>
              <w:rPr>
                <w:rFonts w:hint="eastAsia" w:ascii="宋体" w:hAnsi="宋体"/>
                <w:color w:val="000000"/>
                <w:szCs w:val="21"/>
                <w:lang w:val="en-US" w:eastAsia="zh-CN"/>
              </w:rPr>
              <w:t>如</w:t>
            </w:r>
            <w:r>
              <w:rPr>
                <w:rFonts w:ascii="宋体" w:hAnsi="宋体"/>
                <w:color w:val="000000"/>
                <w:szCs w:val="21"/>
              </w:rPr>
              <w:t>工具、建筑装修装饰工程、结构补强及钢结构工程的施工和服务设备、检测设备</w:t>
            </w:r>
            <w:r>
              <w:rPr>
                <w:rFonts w:hint="eastAsia" w:ascii="宋体" w:hAnsi="宋体"/>
                <w:color w:val="000000"/>
                <w:szCs w:val="21"/>
                <w:lang w:eastAsia="zh-CN"/>
              </w:rPr>
              <w:t>（</w:t>
            </w:r>
            <w:r>
              <w:rPr>
                <w:rFonts w:hint="eastAsia" w:ascii="宋体" w:hAnsi="宋体"/>
                <w:color w:val="000000"/>
                <w:szCs w:val="21"/>
                <w:lang w:val="en-US" w:eastAsia="zh-CN"/>
              </w:rPr>
              <w:t>卷尺、卡尺</w:t>
            </w:r>
            <w:r>
              <w:rPr>
                <w:rFonts w:hint="eastAsia" w:ascii="宋体" w:hAnsi="宋体"/>
                <w:color w:val="000000"/>
                <w:szCs w:val="21"/>
                <w:lang w:eastAsia="zh-CN"/>
              </w:rPr>
              <w:t>）</w:t>
            </w:r>
            <w:r>
              <w:rPr>
                <w:rFonts w:ascii="宋体" w:hAnsi="宋体"/>
                <w:color w:val="000000"/>
                <w:szCs w:val="21"/>
              </w:rPr>
              <w:t>、软件等；支持性服务设施（</w:t>
            </w:r>
            <w:r>
              <w:rPr>
                <w:rFonts w:hint="eastAsia" w:ascii="宋体" w:hAnsi="宋体"/>
                <w:color w:val="000000"/>
                <w:szCs w:val="21"/>
                <w:lang w:val="en-US" w:eastAsia="zh-CN"/>
              </w:rPr>
              <w:t>人力资源，</w:t>
            </w:r>
            <w:r>
              <w:rPr>
                <w:rFonts w:hint="eastAsia" w:ascii="宋体" w:hAnsi="宋体"/>
                <w:color w:val="000000"/>
                <w:szCs w:val="21"/>
              </w:rPr>
              <w:t>运输\</w:t>
            </w:r>
            <w:r>
              <w:rPr>
                <w:rFonts w:ascii="宋体" w:hAnsi="宋体"/>
                <w:color w:val="000000"/>
                <w:szCs w:val="21"/>
              </w:rPr>
              <w:t>通讯设施</w:t>
            </w:r>
            <w:r>
              <w:rPr>
                <w:rFonts w:hint="eastAsia" w:ascii="宋体" w:hAnsi="宋体"/>
                <w:color w:val="000000"/>
                <w:szCs w:val="21"/>
              </w:rPr>
              <w:t>及信息系统</w:t>
            </w:r>
            <w:r>
              <w:rPr>
                <w:rFonts w:ascii="宋体" w:hAnsi="宋体"/>
                <w:color w:val="000000"/>
                <w:szCs w:val="21"/>
              </w:rPr>
              <w:t>等）。</w:t>
            </w:r>
          </w:p>
          <w:p>
            <w:pPr>
              <w:pStyle w:val="6"/>
              <w:keepNext w:val="0"/>
              <w:keepLines w:val="0"/>
              <w:pageBreakBefore w:val="0"/>
              <w:widowControl w:val="0"/>
              <w:kinsoku/>
              <w:wordWrap/>
              <w:overflowPunct/>
              <w:topLinePunct w:val="0"/>
              <w:bidi w:val="0"/>
              <w:spacing w:before="157" w:beforeLines="50" w:line="240" w:lineRule="auto"/>
              <w:ind w:firstLine="0" w:firstLineChars="0"/>
              <w:textAlignment w:val="auto"/>
              <w:rPr>
                <w:rFonts w:ascii="宋体" w:hAnsi="宋体"/>
                <w:color w:val="000000"/>
                <w:szCs w:val="21"/>
              </w:rPr>
            </w:pPr>
            <w:r>
              <w:rPr>
                <w:rFonts w:hint="eastAsia" w:ascii="宋体" w:hAnsi="宋体"/>
                <w:color w:val="000000"/>
                <w:szCs w:val="21"/>
                <w:lang w:val="en-US" w:eastAsia="zh-CN"/>
              </w:rPr>
              <w:t>企业有办公场所：办公桌椅、电脑、打印机、扫描仪、</w:t>
            </w:r>
            <w:r>
              <w:rPr>
                <w:rFonts w:hint="eastAsia" w:ascii="宋体" w:hAnsi="宋体"/>
                <w:color w:val="000000"/>
                <w:szCs w:val="21"/>
              </w:rPr>
              <w:t>必要的照明、通风、除尘和消防器具并采取其他必要的防护措施，保持作业场所安全、卫生、整洁、温度、光照、空气流通，控制环境</w:t>
            </w:r>
            <w:r>
              <w:rPr>
                <w:rFonts w:hint="eastAsia" w:ascii="宋体" w:hAnsi="宋体"/>
                <w:color w:val="000000"/>
                <w:szCs w:val="21"/>
                <w:lang w:eastAsia="zh-CN"/>
              </w:rPr>
              <w:t>，</w:t>
            </w:r>
            <w:r>
              <w:rPr>
                <w:rFonts w:hint="eastAsia" w:ascii="宋体" w:hAnsi="宋体"/>
                <w:color w:val="000000"/>
                <w:szCs w:val="21"/>
                <w:lang w:val="en-US" w:eastAsia="zh-CN"/>
              </w:rPr>
              <w:t>办公环境符合要求；针对劳务外包时</w:t>
            </w:r>
            <w:r>
              <w:rPr>
                <w:rFonts w:hint="eastAsia" w:ascii="宋体" w:hAnsi="宋体"/>
                <w:color w:val="000000"/>
                <w:szCs w:val="21"/>
              </w:rPr>
              <w:t>对相关的工作环境实施控制，对易燃·易爆、易碎、超长·超高、超重建筑材料、构配件和设备，应明确搬运要求，并对其进行防护，防止损坏、变质、变形。当需要编制搬运方案时，应经审批后向操作人员进行交底并组织实施</w:t>
            </w:r>
            <w:r>
              <w:rPr>
                <w:rFonts w:hint="eastAsia" w:ascii="宋体" w:hAnsi="宋体"/>
                <w:color w:val="000000"/>
                <w:szCs w:val="21"/>
                <w:lang w:eastAsia="zh-CN"/>
              </w:rPr>
              <w:t>，</w:t>
            </w:r>
            <w:r>
              <w:rPr>
                <w:rFonts w:hint="eastAsia" w:ascii="宋体" w:hAnsi="宋体"/>
                <w:color w:val="000000"/>
                <w:szCs w:val="21"/>
                <w:lang w:val="en-US" w:eastAsia="zh-CN"/>
              </w:rPr>
              <w:t>落实现场工作的劳动防护，满足</w:t>
            </w:r>
            <w:r>
              <w:rPr>
                <w:rFonts w:hint="eastAsia" w:ascii="宋体" w:hAnsi="宋体"/>
                <w:color w:val="000000"/>
                <w:szCs w:val="21"/>
              </w:rPr>
              <w:t>员工工作环境</w:t>
            </w:r>
            <w:r>
              <w:rPr>
                <w:rFonts w:hint="eastAsia" w:ascii="宋体" w:hAnsi="宋体"/>
                <w:color w:val="000000"/>
                <w:szCs w:val="21"/>
                <w:lang w:val="en-US" w:eastAsia="zh-CN"/>
              </w:rPr>
              <w:t>要求</w:t>
            </w:r>
            <w:r>
              <w:rPr>
                <w:rFonts w:hint="eastAsia" w:ascii="宋体" w:hAnsi="宋体"/>
                <w:color w:val="000000"/>
                <w:szCs w:val="21"/>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ind w:left="420" w:leftChars="200"/>
              <w:textAlignment w:val="auto"/>
              <w:rPr>
                <w:rFonts w:ascii="宋体" w:hAnsi="宋体"/>
                <w:spacing w:val="6"/>
                <w:szCs w:val="21"/>
              </w:rPr>
            </w:pPr>
            <w:r>
              <w:rPr>
                <w:rFonts w:hint="eastAsia" w:ascii="宋体" w:hAnsi="宋体"/>
                <w:spacing w:val="6"/>
                <w:szCs w:val="21"/>
              </w:rPr>
              <w:t>当</w:t>
            </w:r>
            <w:r>
              <w:rPr>
                <w:rFonts w:hint="eastAsia" w:ascii="宋体" w:hAnsi="宋体"/>
                <w:spacing w:val="6"/>
                <w:szCs w:val="21"/>
                <w:lang w:val="en-US" w:eastAsia="zh-CN"/>
              </w:rPr>
              <w:t>劳务分包</w:t>
            </w:r>
            <w:r>
              <w:rPr>
                <w:rFonts w:hint="eastAsia" w:ascii="宋体" w:hAnsi="宋体"/>
                <w:spacing w:val="6"/>
                <w:szCs w:val="21"/>
              </w:rPr>
              <w:t>要求测量时，对监视和测量资源</w:t>
            </w:r>
            <w:r>
              <w:rPr>
                <w:rFonts w:hint="eastAsia" w:ascii="宋体" w:hAnsi="宋体"/>
                <w:spacing w:val="6"/>
                <w:szCs w:val="21"/>
                <w:lang w:val="en-US" w:eastAsia="zh-CN"/>
              </w:rPr>
              <w:t>进行</w:t>
            </w:r>
            <w:r>
              <w:rPr>
                <w:rFonts w:hint="eastAsia" w:ascii="宋体" w:hAnsi="宋体"/>
                <w:spacing w:val="6"/>
                <w:szCs w:val="21"/>
              </w:rPr>
              <w:t>定期检定或在使用前进行校正。</w:t>
            </w:r>
          </w:p>
          <w:p>
            <w:pPr>
              <w:keepNext w:val="0"/>
              <w:keepLines w:val="0"/>
              <w:pageBreakBefore w:val="0"/>
              <w:widowControl w:val="0"/>
              <w:kinsoku/>
              <w:wordWrap/>
              <w:overflowPunct/>
              <w:topLinePunct w:val="0"/>
              <w:bidi w:val="0"/>
              <w:spacing w:before="157" w:beforeLines="50" w:line="240" w:lineRule="auto"/>
              <w:textAlignment w:val="auto"/>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160" w:type="dxa"/>
          </w:tcPr>
          <w:p>
            <w:pPr>
              <w:rPr>
                <w:rFonts w:hint="eastAsia"/>
                <w:sz w:val="21"/>
                <w:szCs w:val="21"/>
              </w:rPr>
            </w:pPr>
            <w:r>
              <w:rPr>
                <w:rFonts w:hint="eastAsia"/>
                <w:sz w:val="21"/>
                <w:szCs w:val="21"/>
              </w:rPr>
              <w:t>质量环境安全事故及投诉情况；</w:t>
            </w:r>
          </w:p>
        </w:tc>
        <w:tc>
          <w:tcPr>
            <w:tcW w:w="960" w:type="dxa"/>
          </w:tcPr>
          <w:p>
            <w:r>
              <w:rPr>
                <w:rFonts w:hint="eastAsia"/>
                <w:sz w:val="21"/>
                <w:szCs w:val="21"/>
                <w:lang w:val="en-US" w:eastAsia="zh-CN"/>
              </w:rPr>
              <w:t>QEO 9</w:t>
            </w:r>
            <w:r>
              <w:rPr>
                <w:rFonts w:hint="eastAsia"/>
                <w:sz w:val="21"/>
                <w:szCs w:val="21"/>
              </w:rPr>
              <w:t>.1</w:t>
            </w:r>
          </w:p>
        </w:tc>
        <w:tc>
          <w:tcPr>
            <w:tcW w:w="10004" w:type="dxa"/>
          </w:tcPr>
          <w:p>
            <w:pPr>
              <w:rPr>
                <w:rFonts w:hint="default" w:eastAsia="宋体"/>
                <w:lang w:val="en-US" w:eastAsia="zh-CN"/>
              </w:rPr>
            </w:pPr>
            <w:r>
              <w:rPr>
                <w:rFonts w:hint="eastAsia"/>
                <w:lang w:val="en-US" w:eastAsia="zh-CN"/>
              </w:rPr>
              <w:t>自体系运行以来，企业未发生质量、环境和职业健康安全事故，也未发生顾客投诉事件。</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2160" w:type="dxa"/>
          </w:tcPr>
          <w:p>
            <w:pPr>
              <w:spacing w:line="360" w:lineRule="auto"/>
              <w:jc w:val="both"/>
              <w:rPr>
                <w:rFonts w:hint="eastAsia"/>
                <w:sz w:val="21"/>
                <w:szCs w:val="21"/>
              </w:rPr>
            </w:pPr>
            <w:r>
              <w:rPr>
                <w:rFonts w:hint="eastAsia"/>
                <w:sz w:val="21"/>
                <w:szCs w:val="21"/>
              </w:rPr>
              <w:t>内部审核管理评审策划和实施；</w:t>
            </w:r>
          </w:p>
          <w:p>
            <w:pPr>
              <w:rPr>
                <w:rFonts w:hint="eastAsia"/>
                <w:sz w:val="21"/>
                <w:szCs w:val="21"/>
              </w:rPr>
            </w:pPr>
          </w:p>
        </w:tc>
        <w:tc>
          <w:tcPr>
            <w:tcW w:w="960" w:type="dxa"/>
          </w:tcPr>
          <w:p>
            <w:r>
              <w:rPr>
                <w:rFonts w:hint="eastAsia"/>
                <w:sz w:val="21"/>
                <w:szCs w:val="21"/>
                <w:lang w:val="en-US" w:eastAsia="zh-CN"/>
              </w:rPr>
              <w:t xml:space="preserve">QEO </w:t>
            </w:r>
            <w:r>
              <w:rPr>
                <w:rFonts w:hint="eastAsia"/>
                <w:sz w:val="21"/>
                <w:szCs w:val="21"/>
              </w:rPr>
              <w:t>9.2/9.3</w:t>
            </w:r>
          </w:p>
        </w:tc>
        <w:tc>
          <w:tcPr>
            <w:tcW w:w="10004" w:type="dxa"/>
          </w:tcPr>
          <w:p>
            <w:pPr>
              <w:pStyle w:val="6"/>
              <w:keepNext w:val="0"/>
              <w:keepLines w:val="0"/>
              <w:pageBreakBefore w:val="0"/>
              <w:widowControl w:val="0"/>
              <w:kinsoku/>
              <w:wordWrap/>
              <w:overflowPunct/>
              <w:topLinePunct w:val="0"/>
              <w:bidi w:val="0"/>
              <w:snapToGrid/>
              <w:spacing w:before="157" w:beforeLines="50" w:line="240" w:lineRule="auto"/>
              <w:ind w:firstLine="0" w:firstLineChars="0"/>
              <w:textAlignment w:val="auto"/>
              <w:rPr>
                <w:rFonts w:hint="eastAsia" w:ascii="宋体" w:hAnsi="宋体" w:cs="Times New Roman"/>
                <w:color w:val="000000"/>
                <w:szCs w:val="21"/>
              </w:rPr>
            </w:pPr>
            <w:r>
              <w:rPr>
                <w:rFonts w:hint="eastAsia" w:ascii="宋体" w:hAnsi="宋体" w:cs="Times New Roman"/>
                <w:color w:val="000000"/>
                <w:szCs w:val="21"/>
                <w:lang w:val="en-US" w:eastAsia="zh-CN"/>
              </w:rPr>
              <w:t>企业</w:t>
            </w:r>
            <w:r>
              <w:rPr>
                <w:rFonts w:hint="eastAsia" w:ascii="宋体" w:hAnsi="宋体" w:cs="Times New Roman"/>
                <w:color w:val="000000"/>
                <w:szCs w:val="21"/>
              </w:rPr>
              <w:t>任命</w:t>
            </w:r>
            <w:r>
              <w:rPr>
                <w:rFonts w:hint="eastAsia" w:ascii="宋体" w:hAnsi="宋体" w:cs="Times New Roman"/>
                <w:color w:val="000000"/>
                <w:szCs w:val="21"/>
                <w:lang w:eastAsia="zh-CN"/>
              </w:rPr>
              <w:t>刘建辉</w:t>
            </w:r>
            <w:r>
              <w:rPr>
                <w:rFonts w:hint="eastAsia" w:ascii="宋体" w:hAnsi="宋体" w:cs="Times New Roman"/>
                <w:color w:val="000000"/>
                <w:szCs w:val="21"/>
              </w:rPr>
              <w:t>为内审组长，</w:t>
            </w:r>
            <w:r>
              <w:rPr>
                <w:rFonts w:hint="eastAsia" w:ascii="宋体" w:hAnsi="宋体" w:cs="Times New Roman"/>
                <w:color w:val="000000"/>
                <w:szCs w:val="21"/>
                <w:lang w:eastAsia="zh-CN"/>
              </w:rPr>
              <w:t>葛彦辉、戈风岗</w:t>
            </w:r>
            <w:r>
              <w:rPr>
                <w:rFonts w:hint="eastAsia" w:ascii="宋体" w:hAnsi="宋体" w:cs="Times New Roman"/>
                <w:color w:val="000000"/>
                <w:szCs w:val="21"/>
              </w:rPr>
              <w:t>为内审员，负责公司的质量/环境/职业健康安全管理体系内部审核工作。</w:t>
            </w:r>
          </w:p>
          <w:p>
            <w:pPr>
              <w:pStyle w:val="6"/>
              <w:keepNext w:val="0"/>
              <w:keepLines w:val="0"/>
              <w:pageBreakBefore w:val="0"/>
              <w:widowControl w:val="0"/>
              <w:kinsoku/>
              <w:wordWrap/>
              <w:overflowPunct/>
              <w:topLinePunct w:val="0"/>
              <w:bidi w:val="0"/>
              <w:snapToGrid/>
              <w:spacing w:before="157" w:beforeLines="50" w:line="240" w:lineRule="auto"/>
              <w:ind w:firstLine="0" w:firstLineChars="0"/>
              <w:textAlignment w:val="auto"/>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szCs w:val="21"/>
                <w:lang w:val="en-US" w:eastAsia="zh-CN"/>
              </w:rPr>
              <w:t>提供</w:t>
            </w:r>
            <w:r>
              <w:rPr>
                <w:rFonts w:hint="eastAsia" w:ascii="宋体" w:hAnsi="宋体" w:eastAsia="宋体" w:cs="Times New Roman"/>
                <w:color w:val="000000"/>
                <w:kern w:val="2"/>
                <w:sz w:val="21"/>
                <w:szCs w:val="21"/>
                <w:lang w:val="en-US" w:eastAsia="zh-CN" w:bidi="ar-SA"/>
              </w:rPr>
              <w:t>内部审核实施计划，2021年3月29-31日组织实施了内审，审核范围：资质范围内建筑工程劳务分包（劳务派遣除外）的相关要求。</w:t>
            </w:r>
          </w:p>
          <w:p>
            <w:pPr>
              <w:pStyle w:val="6"/>
              <w:keepNext w:val="0"/>
              <w:keepLines w:val="0"/>
              <w:pageBreakBefore w:val="0"/>
              <w:widowControl w:val="0"/>
              <w:kinsoku/>
              <w:wordWrap/>
              <w:overflowPunct/>
              <w:topLinePunct w:val="0"/>
              <w:bidi w:val="0"/>
              <w:snapToGrid/>
              <w:spacing w:before="157" w:beforeLines="50" w:line="240" w:lineRule="auto"/>
              <w:ind w:firstLine="0" w:firstLineChars="0"/>
              <w:textAlignment w:val="auto"/>
              <w:rPr>
                <w:rFonts w:hint="default" w:ascii="宋体" w:hAnsi="宋体" w:cs="Times New Roman"/>
                <w:color w:val="000000"/>
                <w:szCs w:val="21"/>
                <w:lang w:val="en-US" w:eastAsia="zh-CN"/>
              </w:rPr>
            </w:pPr>
            <w:r>
              <w:rPr>
                <w:rFonts w:hint="eastAsia" w:ascii="宋体" w:hAnsi="宋体" w:eastAsia="宋体" w:cs="Times New Roman"/>
                <w:color w:val="000000"/>
                <w:kern w:val="2"/>
                <w:sz w:val="21"/>
                <w:szCs w:val="21"/>
                <w:lang w:val="en-US" w:eastAsia="zh-CN" w:bidi="ar-SA"/>
              </w:rPr>
              <w:t>内审1项不符合——“不能提供对人</w:t>
            </w:r>
            <w:r>
              <w:rPr>
                <w:rFonts w:hint="eastAsia" w:ascii="宋体" w:hAnsi="宋体" w:cs="Times New Roman"/>
                <w:color w:val="000000"/>
                <w:szCs w:val="21"/>
              </w:rPr>
              <w:t>员能力进行确认的证据</w:t>
            </w:r>
            <w:r>
              <w:rPr>
                <w:rFonts w:hint="eastAsia" w:ascii="宋体" w:hAnsi="宋体" w:cs="Times New Roman"/>
                <w:color w:val="000000"/>
                <w:szCs w:val="21"/>
                <w:lang w:val="en-US" w:eastAsia="zh-CN"/>
              </w:rPr>
              <w:t>”已整改并验证。</w:t>
            </w:r>
          </w:p>
          <w:p>
            <w:pPr>
              <w:keepNext w:val="0"/>
              <w:keepLines w:val="0"/>
              <w:pageBreakBefore w:val="0"/>
              <w:widowControl w:val="0"/>
              <w:kinsoku/>
              <w:wordWrap/>
              <w:overflowPunct/>
              <w:topLinePunct w:val="0"/>
              <w:autoSpaceDE w:val="0"/>
              <w:autoSpaceDN w:val="0"/>
              <w:bidi w:val="0"/>
              <w:adjustRightInd w:val="0"/>
              <w:snapToGrid/>
              <w:spacing w:before="157" w:beforeLines="50" w:line="240" w:lineRule="auto"/>
              <w:jc w:val="left"/>
              <w:textAlignment w:val="auto"/>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查：2021年3月</w:t>
            </w:r>
            <w:r>
              <w:rPr>
                <w:rFonts w:hint="eastAsia" w:ascii="宋体" w:hAnsi="宋体" w:cs="Times New Roman"/>
                <w:color w:val="000000"/>
                <w:kern w:val="2"/>
                <w:sz w:val="21"/>
                <w:szCs w:val="21"/>
                <w:lang w:val="en-US" w:eastAsia="zh-CN" w:bidi="ar-SA"/>
              </w:rPr>
              <w:t>31</w:t>
            </w:r>
            <w:r>
              <w:rPr>
                <w:rFonts w:hint="eastAsia" w:ascii="宋体" w:hAnsi="宋体" w:eastAsia="宋体" w:cs="Times New Roman"/>
                <w:color w:val="000000"/>
                <w:kern w:val="2"/>
                <w:sz w:val="21"/>
                <w:szCs w:val="21"/>
                <w:lang w:val="en-US" w:eastAsia="zh-CN" w:bidi="ar-SA"/>
              </w:rPr>
              <w:t>日“内审报告”</w:t>
            </w:r>
            <w:r>
              <w:rPr>
                <w:rFonts w:hint="eastAsia" w:ascii="宋体" w:hAnsi="宋体" w:cs="Times New Roman"/>
                <w:color w:val="000000"/>
                <w:kern w:val="2"/>
                <w:sz w:val="21"/>
                <w:szCs w:val="21"/>
                <w:lang w:val="en-US" w:eastAsia="zh-CN" w:bidi="ar-SA"/>
              </w:rPr>
              <w:t>，有</w:t>
            </w:r>
            <w:r>
              <w:rPr>
                <w:rFonts w:hint="eastAsia" w:ascii="宋体" w:hAnsi="宋体" w:eastAsia="宋体" w:cs="Times New Roman"/>
                <w:color w:val="000000"/>
                <w:kern w:val="2"/>
                <w:sz w:val="21"/>
                <w:szCs w:val="21"/>
                <w:lang w:val="en-US" w:eastAsia="zh-CN" w:bidi="ar-SA"/>
              </w:rPr>
              <w:t>：审核目的、内审依据、 内审组成员以及审核计划实施记录</w:t>
            </w:r>
            <w:r>
              <w:rPr>
                <w:rFonts w:hint="eastAsia" w:ascii="宋体" w:hAnsi="宋体" w:cs="Times New Roman"/>
                <w:color w:val="000000"/>
                <w:kern w:val="2"/>
                <w:sz w:val="21"/>
                <w:szCs w:val="21"/>
                <w:lang w:val="en-US" w:eastAsia="zh-CN" w:bidi="ar-SA"/>
              </w:rPr>
              <w:t>、内审结论和对不符合整改的要求</w:t>
            </w:r>
            <w:r>
              <w:rPr>
                <w:rFonts w:hint="eastAsia" w:ascii="宋体" w:hAnsi="宋体" w:eastAsia="宋体" w:cs="Times New Roman"/>
                <w:color w:val="000000"/>
                <w:kern w:val="2"/>
                <w:sz w:val="21"/>
                <w:szCs w:val="21"/>
                <w:lang w:val="en-US" w:eastAsia="zh-CN" w:bidi="ar-SA"/>
              </w:rPr>
              <w:t>等内容，</w:t>
            </w:r>
            <w:r>
              <w:rPr>
                <w:rFonts w:hint="eastAsia" w:ascii="宋体" w:hAnsi="宋体" w:cs="Times New Roman"/>
                <w:color w:val="000000"/>
                <w:kern w:val="2"/>
                <w:sz w:val="21"/>
                <w:szCs w:val="21"/>
                <w:lang w:val="en-US" w:eastAsia="zh-CN" w:bidi="ar-SA"/>
              </w:rPr>
              <w:t>报告由编制人和审批人，符合要求。</w:t>
            </w:r>
          </w:p>
          <w:p>
            <w:pPr>
              <w:keepNext w:val="0"/>
              <w:keepLines w:val="0"/>
              <w:pageBreakBefore w:val="0"/>
              <w:widowControl w:val="0"/>
              <w:kinsoku/>
              <w:wordWrap/>
              <w:overflowPunct/>
              <w:topLinePunct w:val="0"/>
              <w:autoSpaceDE w:val="0"/>
              <w:autoSpaceDN w:val="0"/>
              <w:bidi w:val="0"/>
              <w:adjustRightInd w:val="0"/>
              <w:snapToGrid/>
              <w:spacing w:before="157" w:beforeLines="50" w:line="240" w:lineRule="auto"/>
              <w:jc w:val="left"/>
              <w:textAlignment w:val="auto"/>
              <w:rPr>
                <w:rFonts w:hint="eastAsia" w:ascii="宋体" w:hAnsi="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 xml:space="preserve">查：管理评审相关资料                                                              </w:t>
            </w:r>
          </w:p>
          <w:p>
            <w:pPr>
              <w:pStyle w:val="6"/>
              <w:keepNext w:val="0"/>
              <w:keepLines w:val="0"/>
              <w:pageBreakBefore w:val="0"/>
              <w:widowControl w:val="0"/>
              <w:kinsoku/>
              <w:wordWrap/>
              <w:overflowPunct/>
              <w:topLinePunct w:val="0"/>
              <w:bidi w:val="0"/>
              <w:snapToGrid/>
              <w:spacing w:before="157" w:beforeLines="50" w:line="240" w:lineRule="auto"/>
              <w:ind w:firstLine="0" w:firstLineChars="0"/>
              <w:textAlignment w:val="auto"/>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提供管理评审计划，有计划编制和审批人签字；</w:t>
            </w:r>
          </w:p>
          <w:p>
            <w:pPr>
              <w:pStyle w:val="6"/>
              <w:keepNext w:val="0"/>
              <w:keepLines w:val="0"/>
              <w:pageBreakBefore w:val="0"/>
              <w:widowControl w:val="0"/>
              <w:kinsoku/>
              <w:wordWrap/>
              <w:overflowPunct/>
              <w:topLinePunct w:val="0"/>
              <w:bidi w:val="0"/>
              <w:snapToGrid/>
              <w:spacing w:before="157" w:beforeLines="50" w:line="240" w:lineRule="auto"/>
              <w:ind w:firstLine="0" w:firstLineChars="0"/>
              <w:textAlignment w:val="auto"/>
              <w:rPr>
                <w:rFonts w:hint="eastAsia" w:eastAsia="宋体"/>
                <w:lang w:val="en-US" w:eastAsia="zh-CN"/>
              </w:rPr>
            </w:pPr>
            <w:r>
              <w:rPr>
                <w:rFonts w:hint="eastAsia" w:ascii="宋体" w:hAnsi="宋体" w:cs="Times New Roman"/>
                <w:color w:val="000000"/>
                <w:szCs w:val="21"/>
                <w:lang w:val="en-US" w:eastAsia="zh-CN"/>
              </w:rPr>
              <w:t>2021年4月10日组织了管理评审，编制了管理评审报告，评审综述：经过管理评审对相关资料进行分析，发现了我公司现存在的一些问题。同时可以看出，推行三体系以来，已经在各个部门取得了不小的进步，整个质量管理体系在总体上是适用和有效的。管理评审报告由批准人签字。</w:t>
            </w:r>
          </w:p>
        </w:tc>
        <w:tc>
          <w:tcPr>
            <w:tcW w:w="1585" w:type="dxa"/>
          </w:tcPr>
          <w:p>
            <w:pPr>
              <w:pStyle w:val="2"/>
              <w:jc w:val="both"/>
              <w:rPr>
                <w:rFonts w:hint="eastAsia" w:eastAsia="宋体"/>
                <w:lang w:val="en-US" w:eastAsia="zh-CN"/>
              </w:rPr>
            </w:pPr>
          </w:p>
          <w:p>
            <w:pPr>
              <w:pStyle w:val="2"/>
              <w:jc w:val="both"/>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both"/>
              <w:rPr>
                <w:rFonts w:hint="eastAsia"/>
                <w:sz w:val="21"/>
                <w:szCs w:val="21"/>
              </w:rPr>
            </w:pPr>
            <w:r>
              <w:rPr>
                <w:rFonts w:hint="eastAsia"/>
                <w:sz w:val="21"/>
                <w:szCs w:val="21"/>
              </w:rPr>
              <w:t>资质查验</w:t>
            </w:r>
          </w:p>
          <w:p>
            <w:pPr>
              <w:rPr>
                <w:rFonts w:hint="eastAsia"/>
                <w:sz w:val="21"/>
                <w:szCs w:val="21"/>
              </w:rPr>
            </w:pPr>
          </w:p>
        </w:tc>
        <w:tc>
          <w:tcPr>
            <w:tcW w:w="960" w:type="dxa"/>
          </w:tcPr>
          <w:p/>
        </w:tc>
        <w:tc>
          <w:tcPr>
            <w:tcW w:w="10004" w:type="dxa"/>
          </w:tcPr>
          <w:p>
            <w:pPr>
              <w:pStyle w:val="4"/>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河北璐冉建筑工程有限公司2020年4月26日成立，提供营业执照（副本）扫描件：统一社会信用代码：91130105MA0EUU9E7N,注册地址（住所）：河北省石家庄市新华区中华北大街559号东岸尚园4-2-102，经营范围：包括住宅房屋建筑....建筑工程劳务分包（劳务派遣除外），有限期限：无。</w:t>
            </w:r>
          </w:p>
          <w:p>
            <w:pPr>
              <w:pStyle w:val="4"/>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经营范围、注册地址等内容与本次审核任务书一致，符合要求。</w:t>
            </w:r>
          </w:p>
          <w:p>
            <w:pPr>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cs="Times New Roman"/>
                <w:b w:val="0"/>
                <w:bCs w:val="0"/>
                <w:spacing w:val="6"/>
                <w:kern w:val="2"/>
                <w:sz w:val="21"/>
                <w:szCs w:val="21"/>
                <w:lang w:val="en-US" w:eastAsia="zh-CN" w:bidi="ar-SA"/>
              </w:rPr>
            </w:pPr>
            <w:r>
              <w:rPr>
                <w:rFonts w:hint="eastAsia"/>
                <w:lang w:val="en-US" w:eastAsia="zh-CN"/>
              </w:rPr>
              <w:t>查阅：</w:t>
            </w:r>
            <w:r>
              <w:rPr>
                <w:rFonts w:hint="eastAsia" w:ascii="宋体" w:hAnsi="宋体" w:eastAsia="宋体" w:cs="Times New Roman"/>
                <w:b w:val="0"/>
                <w:bCs w:val="0"/>
                <w:spacing w:val="6"/>
                <w:kern w:val="2"/>
                <w:sz w:val="21"/>
                <w:szCs w:val="21"/>
                <w:lang w:val="en-US" w:eastAsia="zh-CN" w:bidi="ar-SA"/>
              </w:rPr>
              <w:t>河北璐冉建筑工程有限公司</w:t>
            </w:r>
            <w:r>
              <w:rPr>
                <w:rFonts w:hint="eastAsia" w:ascii="宋体" w:hAnsi="宋体" w:cs="Times New Roman"/>
                <w:b w:val="0"/>
                <w:bCs w:val="0"/>
                <w:spacing w:val="6"/>
                <w:kern w:val="2"/>
                <w:sz w:val="21"/>
                <w:szCs w:val="21"/>
                <w:lang w:val="en-US" w:eastAsia="zh-CN" w:bidi="ar-SA"/>
              </w:rPr>
              <w:t>的劳务分包资质：《建筑业企业资质证书》，证书编号：D313205015;发证机关：石家庄市行政审批局，时间2021年3月28日；资质类别及等级：不分专业施工劳务不分等级；详细地址：</w:t>
            </w:r>
            <w:r>
              <w:rPr>
                <w:rFonts w:hint="eastAsia" w:ascii="宋体" w:hAnsi="宋体" w:eastAsia="宋体" w:cs="Times New Roman"/>
                <w:b w:val="0"/>
                <w:bCs w:val="0"/>
                <w:spacing w:val="6"/>
                <w:kern w:val="2"/>
                <w:sz w:val="21"/>
                <w:szCs w:val="21"/>
                <w:lang w:val="en-US" w:eastAsia="zh-CN" w:bidi="ar-SA"/>
              </w:rPr>
              <w:t>河北省石家庄市新华区中华北大街559号东岸尚园4-2-102</w:t>
            </w:r>
            <w:r>
              <w:rPr>
                <w:rFonts w:hint="eastAsia" w:ascii="宋体" w:hAnsi="宋体" w:cs="Times New Roman"/>
                <w:b w:val="0"/>
                <w:bCs w:val="0"/>
                <w:spacing w:val="6"/>
                <w:kern w:val="2"/>
                <w:sz w:val="21"/>
                <w:szCs w:val="21"/>
                <w:lang w:val="en-US" w:eastAsia="zh-CN" w:bidi="ar-SA"/>
              </w:rPr>
              <w:t>，证书有效期限：2026年3月11日。符合要求。</w:t>
            </w:r>
          </w:p>
          <w:p>
            <w:pPr>
              <w:pStyle w:val="2"/>
              <w:jc w:val="both"/>
              <w:rPr>
                <w:rFonts w:hint="default" w:eastAsia="宋体"/>
                <w:lang w:val="en-US" w:eastAsia="zh-CN"/>
              </w:rPr>
            </w:pPr>
            <w:r>
              <w:rPr>
                <w:rFonts w:hint="eastAsia" w:ascii="宋体" w:hAnsi="宋体" w:cs="Times New Roman"/>
                <w:b w:val="0"/>
                <w:bCs w:val="0"/>
                <w:spacing w:val="6"/>
                <w:kern w:val="2"/>
                <w:sz w:val="21"/>
                <w:szCs w:val="21"/>
                <w:lang w:val="en-US" w:eastAsia="zh-CN" w:bidi="ar-SA"/>
              </w:rPr>
              <w:t>提供有：安全生产许可证，证书编号：（冀）JZ安许证字{2020}015593，许可范围：建筑施工，有效期至：2024年4月16日。</w:t>
            </w:r>
            <w:bookmarkStart w:id="4" w:name="_GoBack"/>
            <w:bookmarkEnd w:id="4"/>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9"/>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5"/>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39676C"/>
    <w:rsid w:val="034663D9"/>
    <w:rsid w:val="0B9028CB"/>
    <w:rsid w:val="2A9111A4"/>
    <w:rsid w:val="471926EB"/>
    <w:rsid w:val="48404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w:basedOn w:val="1"/>
    <w:qFormat/>
    <w:uiPriority w:val="0"/>
    <w:pPr>
      <w:ind w:firstLine="708" w:firstLineChars="337"/>
    </w:pPr>
  </w:style>
  <w:style w:type="paragraph" w:styleId="7">
    <w:name w:val="Plain Text"/>
    <w:basedOn w:val="1"/>
    <w:qFormat/>
    <w:uiPriority w:val="0"/>
    <w:rPr>
      <w:rFonts w:ascii="宋体" w:hAnsi="Courier New"/>
      <w:sz w:val="24"/>
      <w:szCs w:val="20"/>
    </w:rPr>
  </w:style>
  <w:style w:type="paragraph" w:styleId="8">
    <w:name w:val="Balloon Text"/>
    <w:basedOn w:val="1"/>
    <w:link w:val="14"/>
    <w:semiHidden/>
    <w:unhideWhenUsed/>
    <w:qFormat/>
    <w:uiPriority w:val="99"/>
    <w:rPr>
      <w:sz w:val="18"/>
      <w:szCs w:val="18"/>
    </w:rPr>
  </w:style>
  <w:style w:type="paragraph" w:styleId="9">
    <w:name w:val="footer"/>
    <w:basedOn w:val="1"/>
    <w:link w:val="13"/>
    <w:unhideWhenUsed/>
    <w:qFormat/>
    <w:uiPriority w:val="99"/>
    <w:pPr>
      <w:tabs>
        <w:tab w:val="center" w:pos="4153"/>
        <w:tab w:val="right" w:pos="8306"/>
      </w:tabs>
      <w:snapToGrid w:val="0"/>
      <w:jc w:val="left"/>
    </w:pPr>
    <w:rPr>
      <w:sz w:val="18"/>
      <w:szCs w:val="18"/>
    </w:rPr>
  </w:style>
  <w:style w:type="character" w:customStyle="1" w:styleId="12">
    <w:name w:val="页眉 Char"/>
    <w:basedOn w:val="11"/>
    <w:link w:val="2"/>
    <w:qFormat/>
    <w:uiPriority w:val="99"/>
    <w:rPr>
      <w:rFonts w:ascii="Times New Roman" w:hAnsi="Times New Roman" w:eastAsia="宋体" w:cs="Times New Roman"/>
      <w:sz w:val="18"/>
      <w:szCs w:val="18"/>
    </w:rPr>
  </w:style>
  <w:style w:type="character" w:customStyle="1" w:styleId="13">
    <w:name w:val="页脚 Char"/>
    <w:basedOn w:val="11"/>
    <w:link w:val="9"/>
    <w:qFormat/>
    <w:uiPriority w:val="99"/>
    <w:rPr>
      <w:rFonts w:ascii="Times New Roman" w:hAnsi="Times New Roman" w:eastAsia="宋体" w:cs="Times New Roman"/>
      <w:sz w:val="18"/>
      <w:szCs w:val="18"/>
    </w:rPr>
  </w:style>
  <w:style w:type="character" w:customStyle="1" w:styleId="14">
    <w:name w:val="批注框文本 Char"/>
    <w:basedOn w:val="11"/>
    <w:link w:val="8"/>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5</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2021-04-18T13:02:28Z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76D5FF2A788C47079D93B3EF2B30F86D</vt:lpwstr>
  </property>
</Properties>
</file>