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办公室      </w:t>
            </w:r>
            <w:r>
              <w:rPr>
                <w:rFonts w:hint="eastAsia"/>
                <w:sz w:val="24"/>
                <w:szCs w:val="24"/>
              </w:rPr>
              <w:t>主管领导/陪同人员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:戈风岗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李蒙生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2021.4.16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szCs w:val="22"/>
              </w:rPr>
            </w:pPr>
          </w:p>
          <w:p>
            <w:pPr>
              <w:rPr>
                <w:rFonts w:hint="default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组织的知识及</w:t>
            </w:r>
            <w:r>
              <w:rPr>
                <w:rFonts w:hint="eastAsia"/>
                <w:szCs w:val="22"/>
              </w:rPr>
              <w:t>管理体系文件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合规义务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法律法规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Q7.1.6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QEO7.5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EO6.1.3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default"/>
                <w:szCs w:val="22"/>
              </w:rPr>
              <w:t>■</w:t>
            </w:r>
            <w:r>
              <w:rPr>
                <w:rFonts w:hint="eastAsia"/>
                <w:szCs w:val="22"/>
              </w:rPr>
              <w:t>受审核方建立的管理体系文件包括</w:t>
            </w:r>
            <w:r>
              <w:rPr>
                <w:rFonts w:hint="eastAsia"/>
                <w:szCs w:val="22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管理手册LRJZ/SC-2020    A/0版，2020年9月10日发布实施（含质量、环境、职业健康安全方针、质量、环境、职业健康安全目标）。</w:t>
            </w:r>
          </w:p>
          <w:p>
            <w:pPr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2.程序文件LRJZ/QES·CX-2020    A/0版，</w:t>
            </w:r>
            <w:r>
              <w:rPr>
                <w:rFonts w:hint="eastAsia"/>
                <w:szCs w:val="22"/>
                <w:lang w:val="en-US" w:eastAsia="zh-CN"/>
              </w:rPr>
              <w:t>2020年9月10日实施，</w:t>
            </w:r>
            <w:r>
              <w:rPr>
                <w:rFonts w:hint="eastAsia"/>
                <w:szCs w:val="22"/>
              </w:rPr>
              <w:t>含</w:t>
            </w:r>
            <w:r>
              <w:rPr>
                <w:rFonts w:hint="eastAsia"/>
                <w:szCs w:val="22"/>
                <w:lang w:val="en-US" w:eastAsia="zh-CN"/>
              </w:rPr>
              <w:t>26</w:t>
            </w:r>
            <w:r>
              <w:rPr>
                <w:rFonts w:hint="eastAsia"/>
                <w:szCs w:val="22"/>
              </w:rPr>
              <w:t>个文件，包括标准要求的程序</w:t>
            </w:r>
            <w:r>
              <w:rPr>
                <w:rFonts w:hint="eastAsia"/>
                <w:szCs w:val="22"/>
                <w:lang w:eastAsia="zh-CN"/>
              </w:rPr>
              <w:t>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3.</w:t>
            </w:r>
            <w:r>
              <w:rPr>
                <w:rFonts w:hint="eastAsia"/>
                <w:szCs w:val="22"/>
                <w:lang w:val="en-US" w:eastAsia="zh-CN"/>
              </w:rPr>
              <w:t>建立了安全管理制度、环境管理制度、安全生产管理责任制及制度、安全生产责任书、施工制度等制度文件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4.体系运行所需要的记录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</w:rPr>
              <w:t>■</w:t>
            </w:r>
            <w:r>
              <w:rPr>
                <w:rFonts w:hint="eastAsia"/>
                <w:szCs w:val="22"/>
              </w:rPr>
              <w:t>编制了</w:t>
            </w:r>
            <w:r>
              <w:rPr>
                <w:rFonts w:hint="eastAsia"/>
                <w:szCs w:val="22"/>
                <w:lang w:val="en-US" w:eastAsia="zh-CN"/>
              </w:rPr>
              <w:t>成文信息</w:t>
            </w:r>
            <w:r>
              <w:rPr>
                <w:rFonts w:hint="eastAsia"/>
                <w:szCs w:val="22"/>
              </w:rPr>
              <w:t>控制程序</w:t>
            </w:r>
            <w:r>
              <w:rPr>
                <w:rFonts w:hint="eastAsia"/>
                <w:szCs w:val="22"/>
                <w:lang w:eastAsia="zh-CN"/>
              </w:rPr>
              <w:t>、法律法规与其他要求控制程序</w:t>
            </w:r>
            <w:r>
              <w:rPr>
                <w:rFonts w:hint="eastAsia"/>
                <w:szCs w:val="22"/>
              </w:rPr>
              <w:t>，用于对管理体系文件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法律法规的识别和</w:t>
            </w:r>
            <w:r>
              <w:rPr>
                <w:rFonts w:hint="eastAsia"/>
                <w:szCs w:val="22"/>
              </w:rPr>
              <w:t>管理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对外来文件进行了识</w:t>
            </w:r>
            <w:r>
              <w:rPr>
                <w:rFonts w:hint="default"/>
                <w:szCs w:val="22"/>
              </w:rPr>
              <w:t>别收集，提供有《</w:t>
            </w:r>
            <w:r>
              <w:rPr>
                <w:rFonts w:hint="default"/>
                <w:szCs w:val="22"/>
                <w:lang w:eastAsia="zh-CN"/>
              </w:rPr>
              <w:t>外来文件清单</w:t>
            </w:r>
            <w:r>
              <w:rPr>
                <w:rFonts w:hint="default"/>
                <w:szCs w:val="22"/>
              </w:rPr>
              <w:t>》、《法律法规清单》，</w:t>
            </w:r>
            <w:r>
              <w:rPr>
                <w:rFonts w:hint="default"/>
                <w:szCs w:val="22"/>
                <w:lang w:eastAsia="zh-CN"/>
              </w:rPr>
              <w:t>包括</w:t>
            </w:r>
            <w:r>
              <w:rPr>
                <w:rFonts w:hint="eastAsia"/>
                <w:szCs w:val="22"/>
                <w:lang w:val="en-US" w:eastAsia="zh-CN"/>
              </w:rPr>
              <w:t>中华人民共和国招标投标法、中华人民共和国安全生产法、中华人民共和国公司法、建设工程质量管理条例、建设工程安全生产管理条例、建筑工程安全防护、文明施工措施费用及使用管理规定、建筑工程安全生产监督管理工作导则、生产安全事故报告和调查处理条例、工程建设项目招标范围和规模标准规定、建筑施工企业安全生产许可证动态监管暂行办法、国务院关于进一步加强企业安全生产工作的通知、工伤保险条例、中华人民共和国建筑法、中华人民共和国环境保护法、质量管理体系--要求 GB/T19001--2016、建设工程文件归档整理规范 GB/T50328-2014、建筑安装分项工程施工工艺规程（DBJ/T 01-26-2003）；、工程测量规范 GB50026-2007、建设电子文件与电子档案管理规程（ CJJ/T 117-2017）、建筑工程施工质量验收统一标准 GB 50300-2013、建设工程监理规范 GB50319-2014等。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szCs w:val="22"/>
              </w:rPr>
              <w:t>■</w:t>
            </w:r>
            <w:r>
              <w:rPr>
                <w:rFonts w:hint="eastAsia"/>
                <w:szCs w:val="22"/>
              </w:rPr>
              <w:t>编制了</w:t>
            </w:r>
            <w:r>
              <w:rPr>
                <w:rFonts w:hint="eastAsia"/>
                <w:szCs w:val="22"/>
                <w:lang w:eastAsia="zh-CN"/>
              </w:rPr>
              <w:t>《合规性评价控制程序》</w:t>
            </w:r>
            <w:r>
              <w:rPr>
                <w:rFonts w:hint="eastAsia"/>
                <w:szCs w:val="22"/>
              </w:rPr>
              <w:t>，规定法律、法规及其他要求的范围、获取方法、确认及分发、合规性评价的要求和频率。</w:t>
            </w:r>
            <w:r>
              <w:rPr>
                <w:rFonts w:hint="eastAsia"/>
                <w:szCs w:val="22"/>
                <w:lang w:eastAsia="zh-CN"/>
              </w:rPr>
              <w:t>进行了合规性评价，</w:t>
            </w:r>
            <w:r>
              <w:rPr>
                <w:rFonts w:hint="default"/>
                <w:szCs w:val="22"/>
              </w:rPr>
              <w:t>提供合规性评价</w:t>
            </w:r>
            <w:r>
              <w:rPr>
                <w:rFonts w:hint="eastAsia"/>
                <w:szCs w:val="22"/>
                <w:lang w:eastAsia="zh-CN"/>
              </w:rPr>
              <w:t>报告及合规性评价</w:t>
            </w:r>
            <w:r>
              <w:rPr>
                <w:rFonts w:hint="default"/>
                <w:szCs w:val="22"/>
              </w:rPr>
              <w:t>记录，符合要求</w:t>
            </w:r>
            <w:r>
              <w:rPr>
                <w:rFonts w:hint="eastAsia"/>
                <w:szCs w:val="22"/>
                <w:lang w:eastAsia="zh-CN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环境因素识</w:t>
            </w:r>
            <w:r>
              <w:rPr>
                <w:rFonts w:hint="eastAsia"/>
                <w:szCs w:val="22"/>
                <w:lang w:eastAsia="zh-CN"/>
              </w:rPr>
              <w:t>、危险源</w:t>
            </w:r>
            <w:r>
              <w:rPr>
                <w:rFonts w:hint="eastAsia"/>
                <w:szCs w:val="22"/>
              </w:rPr>
              <w:t>别评价程序的充分性、适宜性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EO6.1.2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default"/>
                <w:szCs w:val="22"/>
              </w:rPr>
            </w:pPr>
            <w:r>
              <w:rPr>
                <w:rFonts w:hint="default"/>
                <w:szCs w:val="22"/>
              </w:rPr>
              <w:t>策划、编制了</w:t>
            </w:r>
            <w:r>
              <w:rPr>
                <w:rFonts w:hint="eastAsia"/>
                <w:szCs w:val="22"/>
              </w:rPr>
              <w:t>《</w:t>
            </w:r>
            <w:r>
              <w:rPr>
                <w:rFonts w:hint="eastAsia"/>
                <w:szCs w:val="22"/>
                <w:lang w:val="en-US" w:eastAsia="zh-CN"/>
              </w:rPr>
              <w:t>环境因素识别与控制程序</w:t>
            </w:r>
            <w:r>
              <w:rPr>
                <w:rFonts w:hint="eastAsia"/>
                <w:szCs w:val="22"/>
              </w:rPr>
              <w:t>》</w:t>
            </w:r>
            <w:r>
              <w:rPr>
                <w:rFonts w:hint="default"/>
                <w:szCs w:val="22"/>
              </w:rPr>
              <w:t>，</w:t>
            </w:r>
            <w:r>
              <w:rPr>
                <w:rFonts w:hint="eastAsia"/>
                <w:szCs w:val="22"/>
                <w:lang w:eastAsia="zh-CN"/>
              </w:rPr>
              <w:t>《</w:t>
            </w:r>
            <w:r>
              <w:rPr>
                <w:rFonts w:hint="eastAsia"/>
                <w:szCs w:val="22"/>
                <w:lang w:val="en-US" w:eastAsia="zh-CN"/>
              </w:rPr>
              <w:t>危险源辨识和风险评价管理程序</w:t>
            </w:r>
            <w:r>
              <w:rPr>
                <w:rFonts w:hint="eastAsia"/>
                <w:szCs w:val="22"/>
                <w:lang w:eastAsia="zh-CN"/>
              </w:rPr>
              <w:t>》，</w:t>
            </w:r>
            <w:r>
              <w:rPr>
                <w:rFonts w:hint="default"/>
                <w:szCs w:val="22"/>
              </w:rPr>
              <w:t>经文审符合标准要求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</w:rPr>
              <w:t>提供《</w:t>
            </w:r>
            <w:r>
              <w:rPr>
                <w:rFonts w:hint="eastAsia"/>
                <w:szCs w:val="22"/>
                <w:lang w:val="en-US" w:eastAsia="zh-CN"/>
              </w:rPr>
              <w:t>各部门环境因素汇总表</w:t>
            </w:r>
            <w:r>
              <w:rPr>
                <w:rFonts w:hint="default"/>
                <w:szCs w:val="22"/>
              </w:rPr>
              <w:t>》，包括</w:t>
            </w:r>
            <w:r>
              <w:rPr>
                <w:rFonts w:hint="eastAsia"/>
                <w:szCs w:val="22"/>
                <w:lang w:val="en-US" w:eastAsia="zh-CN"/>
              </w:rPr>
              <w:t>废旧灯具处理、氟利昂排放、能源消耗、污水排放、水电了泄露、电脑使用、纸张废弃、烟雾排放、潜在及火灾、废旧墨盒处理、水消耗、生活垃圾排放、火灾发生等环境因素。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default"/>
                <w:szCs w:val="22"/>
              </w:rPr>
              <w:t>提供《</w:t>
            </w:r>
            <w:r>
              <w:rPr>
                <w:rFonts w:hint="eastAsia"/>
                <w:szCs w:val="22"/>
                <w:lang w:val="en-US" w:eastAsia="zh-CN"/>
              </w:rPr>
              <w:t>公司</w:t>
            </w:r>
            <w:r>
              <w:rPr>
                <w:rFonts w:hint="default"/>
                <w:szCs w:val="22"/>
              </w:rPr>
              <w:t>重要环境因素清单》，其中重要环境因素：</w:t>
            </w:r>
            <w:r>
              <w:rPr>
                <w:rFonts w:hint="eastAsia"/>
                <w:szCs w:val="22"/>
                <w:lang w:val="en-US" w:eastAsia="zh-CN"/>
              </w:rPr>
              <w:t>意外火灾事故发生、固体废弃物处理</w:t>
            </w:r>
            <w:r>
              <w:rPr>
                <w:rFonts w:hint="default"/>
                <w:szCs w:val="22"/>
              </w:rPr>
              <w:t>，评价准确</w:t>
            </w:r>
            <w:r>
              <w:rPr>
                <w:rFonts w:hint="eastAsia"/>
                <w:szCs w:val="22"/>
                <w:lang w:eastAsia="zh-CN"/>
              </w:rPr>
              <w:t>。</w:t>
            </w:r>
          </w:p>
          <w:p>
            <w:pPr>
              <w:rPr>
                <w:rFonts w:hint="default"/>
                <w:szCs w:val="22"/>
              </w:rPr>
            </w:pPr>
            <w:r>
              <w:rPr>
                <w:rFonts w:hint="eastAsia"/>
                <w:szCs w:val="22"/>
              </w:rPr>
              <w:t>提供</w:t>
            </w:r>
            <w:r>
              <w:rPr>
                <w:rFonts w:hint="eastAsia"/>
                <w:szCs w:val="22"/>
                <w:lang w:val="en-US" w:eastAsia="zh-CN"/>
              </w:rPr>
              <w:t>各部门</w:t>
            </w:r>
            <w:r>
              <w:rPr>
                <w:rFonts w:hint="eastAsia"/>
                <w:szCs w:val="22"/>
              </w:rPr>
              <w:t>《</w:t>
            </w:r>
            <w:r>
              <w:rPr>
                <w:rFonts w:hint="eastAsia"/>
                <w:szCs w:val="22"/>
                <w:lang w:val="en-US" w:eastAsia="zh-CN"/>
              </w:rPr>
              <w:t>险源调查评价表</w:t>
            </w:r>
            <w:r>
              <w:rPr>
                <w:rFonts w:hint="eastAsia"/>
                <w:szCs w:val="22"/>
              </w:rPr>
              <w:t>》，</w:t>
            </w:r>
            <w:r>
              <w:rPr>
                <w:rFonts w:hint="eastAsia"/>
                <w:szCs w:val="22"/>
                <w:lang w:val="en-US" w:eastAsia="zh-CN"/>
              </w:rPr>
              <w:t>潜在危害因素可能导致的事故</w:t>
            </w:r>
            <w:r>
              <w:rPr>
                <w:rFonts w:hint="eastAsia"/>
                <w:szCs w:val="22"/>
              </w:rPr>
              <w:t>包括：</w:t>
            </w:r>
            <w:r>
              <w:rPr>
                <w:rFonts w:hint="eastAsia"/>
                <w:szCs w:val="22"/>
                <w:lang w:val="en-US" w:eastAsia="zh-CN"/>
              </w:rPr>
              <w:t>触电、着火、开水烫伤、电磁辐射、高空坠落、中暑、跌伤、火灾、感染疾病、高处坠落、物体打击、机械伤害、人身伤害等。</w:t>
            </w:r>
            <w:r>
              <w:rPr>
                <w:rFonts w:hint="eastAsia"/>
                <w:szCs w:val="22"/>
                <w:lang w:eastAsia="zh-CN"/>
              </w:rPr>
              <w:t>评价</w:t>
            </w:r>
            <w:r>
              <w:rPr>
                <w:rFonts w:hint="eastAsia"/>
                <w:szCs w:val="22"/>
              </w:rPr>
              <w:t>基本</w:t>
            </w:r>
            <w:r>
              <w:rPr>
                <w:rFonts w:hint="eastAsia"/>
                <w:szCs w:val="22"/>
                <w:lang w:eastAsia="zh-CN"/>
              </w:rPr>
              <w:t>全面。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提供《</w:t>
            </w:r>
            <w:r>
              <w:rPr>
                <w:rFonts w:hint="eastAsia"/>
                <w:szCs w:val="22"/>
                <w:lang w:val="en-US" w:eastAsia="zh-CN"/>
              </w:rPr>
              <w:t>不可接受风险</w:t>
            </w:r>
            <w:r>
              <w:rPr>
                <w:rFonts w:hint="eastAsia"/>
                <w:szCs w:val="22"/>
              </w:rPr>
              <w:t>清单》，</w:t>
            </w:r>
            <w:r>
              <w:rPr>
                <w:rFonts w:hint="eastAsia"/>
                <w:szCs w:val="22"/>
                <w:lang w:val="en-US" w:eastAsia="zh-CN"/>
              </w:rPr>
              <w:t>潜在火灾、触电、机械伤害、物体打击、高空坠落等危险源导致的人员伤亡、事故发生等为不可接受风险</w:t>
            </w:r>
            <w:r>
              <w:rPr>
                <w:rFonts w:hint="eastAsia"/>
                <w:szCs w:val="22"/>
              </w:rPr>
              <w:t>，评价准确</w:t>
            </w:r>
            <w:r>
              <w:rPr>
                <w:rFonts w:hint="eastAsia"/>
                <w:szCs w:val="22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实现环境、安全目标措施的策划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EO6.2.2</w:t>
            </w:r>
          </w:p>
        </w:tc>
        <w:tc>
          <w:tcPr>
            <w:tcW w:w="10004" w:type="dxa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、安全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目标、指标、管理方案：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查看《环境管理方案》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目标指标：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减少废弃物对环境的影响，危险废弃物单独收集、集中处理，施工垃圾合理处置。责任部门：工程部、综办公室；实施时间：工程开工至工程结束、办公室从2020年9月10~至今。预算费用：2000元。控制措施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分类存放；废漆桶交厂家回收。施工垃圾有效处理。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目标指标：杜绝火灾发生，无火灾事故发生。责任部门：工程部、综办公室；实施时间：工程开工至工程结束、办公室从2020年9月10~至今；预算费用：1000元。控制措施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易燃易爆物品必须有严格的防火措施，确定防火负责人，配备灭火器材，加强巡查；施工材料的存放、使用必须符合防火要求；办公区域的用电要符合防火规定；制定消防预案，成立应急小组处理突发事件；定期对临电设施、电线、电缆进行检修。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查看《职业健康安全管理方案》，目标为无火灾事故发生、不发生重伤以上人身事故、机械重伤害事故发生率为零、物体打击伤害事故发生率为零、无高处坠落事故。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抽查目标1：无火灾事故发生。起止时间：2020.8-至今，办公时间。预算费用总计1000元。责任部门：办公室、工程部。控制措施：易燃易爆物品必须有严格的防火措施，确定防火负责人，配备灭火器材，加强巡查；文件材料的存放、使用必须符合防火要求；办公区域的用电要符合防火规定；制定消防预案，成立应急小组处理突发事件；定期对电线、电缆电气设施进行检修。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抽查目标2：不发生重伤以上人身事故。起止时间：2020.8-至今，办公时间。预算费用总计1000元。责任部门：办公室、工程部。控制措施：各类施工活动应与内、外电线保持安全距离，达不到规范规定的最小安全距离时，必须采用可靠的防护和监护措施；临时用电配电线必须按规范架设整齐，架空线路必须采用绝缘导线，不得采用塑胶软线；配电系统必须实行分级配电；各类配电箱、开关箱外观应完整、牢固、防雨、防尘，箱体应外涂安全色标，统一编号，箱内无杂物；检修各类配电箱、开关箱、电气设备和电力施工机具时，必须切断电源，拆除电气连接并悬挂警示标牌；使用电焊机应单独设开关，电焊机外壳应做接零或接地保护；手持式电动工具必须采用绝缘线。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抽查目标3：不发生重伤以上人身事故。起止时间：2020.8-至今，办公时间。预算费用总计1000元。责任部门：办公室、工程部。控制措施：各类施工活动应与内、外电线保持安全距离，达不到规范规定的最小安全距离时，必须采用可靠的防护和监护措施；临时用电配电线必须按规范架设整齐，架空线路必须采用绝缘导线，不得采用塑胶软线；配电系统必须实行分级配电；各类配电箱、开关箱外观应完整、牢固、防雨、防尘，箱体应外涂安全色标，统一编号，箱内无杂物；检修各类配电箱、开关箱、电气设备和电力施工机具时，必须切断电源，拆除电气连接并悬挂警示标牌；使用电焊机应单独设开关，电焊机外壳应做接零或接地保护；手持式电动工具必须采用绝缘线。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管理方案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基本符合标准要求、可行。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eastAsia="zh-CN"/>
              </w:rPr>
              <w:t>应急准备和响应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EO8.2</w:t>
            </w:r>
          </w:p>
        </w:tc>
        <w:tc>
          <w:tcPr>
            <w:tcW w:w="0" w:type="auto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策划了《环境和职业健康安全应急准备与响应程序》供应急预案：火灾应急预案、触电事故应急救援预案及相应的演练记录。</w:t>
            </w:r>
          </w:p>
        </w:tc>
        <w:tc>
          <w:tcPr>
            <w:tcW w:w="0" w:type="auto"/>
          </w:tcPr>
          <w:p/>
        </w:tc>
      </w:tr>
    </w:tbl>
    <w:p>
      <w:r>
        <w:ptab w:relativeTo="margin" w:alignment="center" w:leader="none"/>
      </w:r>
    </w:p>
    <w:p/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业务部/工程部    </w:t>
            </w:r>
            <w:r>
              <w:rPr>
                <w:rFonts w:hint="eastAsia"/>
                <w:color w:val="auto"/>
                <w:sz w:val="24"/>
                <w:szCs w:val="24"/>
              </w:rPr>
              <w:t>主管领导/陪同人员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葛彦辉、张文江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李蒙生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2021.4.16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Q7.1.3/7.1.4/</w:t>
            </w:r>
            <w:r>
              <w:rPr>
                <w:rFonts w:hint="eastAsia"/>
                <w:sz w:val="21"/>
                <w:szCs w:val="21"/>
              </w:rPr>
              <w:t>7.1.5/8.1/8.5.1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基础设施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</w:p>
          <w:p>
            <w:pPr>
              <w:rPr>
                <w:rFonts w:hint="eastAsia"/>
                <w:szCs w:val="22"/>
                <w:lang w:eastAsia="zh-CN"/>
              </w:rPr>
            </w:pP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工作环境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监视设备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Q7.1.3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</w:t>
            </w:r>
            <w:r>
              <w:rPr>
                <w:rFonts w:hint="eastAsia"/>
                <w:szCs w:val="22"/>
                <w:lang w:eastAsia="zh-CN"/>
              </w:rPr>
              <w:t>7.1.4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</w:t>
            </w:r>
            <w:r>
              <w:rPr>
                <w:rFonts w:hint="eastAsia"/>
                <w:szCs w:val="22"/>
                <w:lang w:eastAsia="zh-CN"/>
              </w:rPr>
              <w:t>7.1.5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配备有办公室等基础设施，主要设备：电脑（主机+显示器）、</w:t>
            </w:r>
            <w:r>
              <w:rPr>
                <w:rFonts w:hint="eastAsia"/>
                <w:szCs w:val="22"/>
                <w:lang w:val="en-US" w:eastAsia="zh-CN"/>
              </w:rPr>
              <w:t>笔记本前脑</w:t>
            </w:r>
            <w:r>
              <w:rPr>
                <w:rFonts w:hint="eastAsia"/>
                <w:szCs w:val="22"/>
                <w:lang w:eastAsia="zh-CN"/>
              </w:rPr>
              <w:t>、打印机、传真电话一体机、固定电话、</w:t>
            </w:r>
            <w:r>
              <w:rPr>
                <w:rFonts w:hint="eastAsia"/>
                <w:szCs w:val="22"/>
                <w:lang w:val="en-US" w:eastAsia="zh-CN"/>
              </w:rPr>
              <w:t>扫描仪、碎纸机、空调、饮水机</w:t>
            </w:r>
            <w:r>
              <w:rPr>
                <w:rFonts w:hint="eastAsia"/>
                <w:szCs w:val="22"/>
                <w:lang w:eastAsia="zh-CN"/>
              </w:rPr>
              <w:t>。</w:t>
            </w:r>
            <w:r>
              <w:rPr>
                <w:rFonts w:hint="eastAsia"/>
                <w:szCs w:val="22"/>
                <w:lang w:val="en-US" w:eastAsia="zh-CN"/>
              </w:rPr>
              <w:t>施工设备：蛙式打夯机、交流电焊机、直流电焊机、木工电锯、磨光机、混凝土振捣器、平板振捣器、套丝机</w:t>
            </w:r>
          </w:p>
          <w:p>
            <w:pPr>
              <w:rPr>
                <w:rFonts w:hint="eastAsia"/>
                <w:color w:val="FF0000"/>
                <w:szCs w:val="22"/>
                <w:lang w:eastAsia="zh-CN"/>
              </w:rPr>
            </w:pP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公司</w:t>
            </w:r>
            <w:r>
              <w:rPr>
                <w:rFonts w:hint="eastAsia"/>
                <w:szCs w:val="22"/>
                <w:lang w:val="en-US" w:eastAsia="zh-CN"/>
              </w:rPr>
              <w:t>办公面积230</w:t>
            </w:r>
            <w:bookmarkStart w:id="0" w:name="_GoBack"/>
            <w:bookmarkEnd w:id="0"/>
            <w:r>
              <w:rPr>
                <w:rFonts w:hint="eastAsia"/>
                <w:szCs w:val="22"/>
                <w:lang w:val="en-US" w:eastAsia="zh-CN"/>
              </w:rPr>
              <w:t>平米</w:t>
            </w:r>
            <w:r>
              <w:rPr>
                <w:rFonts w:hint="eastAsia"/>
                <w:szCs w:val="22"/>
                <w:lang w:eastAsia="zh-CN"/>
              </w:rPr>
              <w:t>，场所卫生干净整洁，</w:t>
            </w:r>
            <w:r>
              <w:rPr>
                <w:rFonts w:hint="eastAsia"/>
                <w:szCs w:val="22"/>
                <w:lang w:val="en-US" w:eastAsia="zh-CN"/>
              </w:rPr>
              <w:t>温度适宜、定时通风，有临时休息场所、</w:t>
            </w:r>
            <w:r>
              <w:rPr>
                <w:rFonts w:hint="eastAsia"/>
                <w:szCs w:val="22"/>
                <w:lang w:eastAsia="zh-CN"/>
              </w:rPr>
              <w:t>工作环境良好</w:t>
            </w:r>
            <w:r>
              <w:rPr>
                <w:rFonts w:hint="eastAsia"/>
                <w:szCs w:val="22"/>
                <w:lang w:val="en-US" w:eastAsia="zh-CN"/>
              </w:rPr>
              <w:t>.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组织对服务质量进行检查、对顾客满意度进行调查，制定了对应表格。</w:t>
            </w:r>
            <w:r>
              <w:rPr>
                <w:rFonts w:hint="eastAsia"/>
                <w:szCs w:val="22"/>
                <w:lang w:val="en-US" w:eastAsia="zh-CN"/>
              </w:rPr>
              <w:t>施工监视设备：钢卷尺、钢直尺、游标卡尺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160" w:type="dxa"/>
            <w:vAlign w:val="top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运行策划和控制及生产和服务提供的控制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Q8.1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Q8.5.1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建立了质量目标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收集的相关法律法规、技术标准：</w:t>
            </w:r>
            <w:r>
              <w:rPr>
                <w:rFonts w:hint="eastAsia"/>
                <w:szCs w:val="22"/>
                <w:lang w:val="en-US" w:eastAsia="zh-CN"/>
              </w:rPr>
              <w:t>招标投标法、安全生产法、公司法、建设工程质量管理条例、建设工程安全生产管理条例、建筑工程安全防护、文明施工措施费用及使用管理规定、工伤保险条例、中华人民共和国建筑法、中华人民共和国环境保护法、质量管理体系--要求 GB/T19001--2016、建设工程文件归档整理规范 GB/T50328-2014、建筑装分项工程施工工艺规程（DBJ/T 01-26-2003）；、工程测量规范 GB50026-2007、建设电子文件与电子档案管理规程（ CJJ/T 117-2017）、建筑工程施工质量验收统一标准 GB 50300-2013、建设工程监理规范 GB50319-2014</w:t>
            </w:r>
            <w:r>
              <w:rPr>
                <w:rFonts w:hint="default"/>
                <w:szCs w:val="22"/>
                <w:lang w:eastAsia="zh-CN"/>
              </w:rPr>
              <w:t>等，经常网上查阅、及时沟通确保最新版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产品实现过程</w:t>
            </w:r>
            <w:r>
              <w:rPr>
                <w:rFonts w:hint="eastAsia"/>
                <w:szCs w:val="22"/>
                <w:lang w:eastAsia="zh-CN"/>
              </w:rPr>
              <w:t>流程：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drawing>
                <wp:inline distT="0" distB="0" distL="114300" distR="114300">
                  <wp:extent cx="5970905" cy="3465195"/>
                  <wp:effectExtent l="0" t="0" r="3175" b="9525"/>
                  <wp:docPr id="2" name="图片 2" descr="161862386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18623867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0905" cy="346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规定了服务实现所需的设备设施、人员、检测设备等资源要求</w:t>
            </w:r>
          </w:p>
          <w:p>
            <w:pPr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获得相应的作业指导书：编制了</w:t>
            </w:r>
            <w:r>
              <w:rPr>
                <w:rFonts w:hint="eastAsia"/>
                <w:szCs w:val="22"/>
                <w:lang w:val="en-US" w:eastAsia="zh-CN"/>
              </w:rPr>
              <w:t>安全管理制度、环境管理制度、安全生产管理责任制及制度、安全生产责任书、施工制度等制度文件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和记录。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特殊过程：隐蔽工程过程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环境因素、危险源识别评价程序的充分性、适宜性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EO6.1.2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default"/>
                <w:szCs w:val="22"/>
              </w:rPr>
            </w:pPr>
            <w:r>
              <w:rPr>
                <w:rFonts w:hint="default"/>
                <w:szCs w:val="22"/>
              </w:rPr>
              <w:t>策划、编制了</w:t>
            </w:r>
            <w:r>
              <w:rPr>
                <w:rFonts w:hint="eastAsia"/>
                <w:szCs w:val="22"/>
              </w:rPr>
              <w:t>《</w:t>
            </w:r>
            <w:r>
              <w:rPr>
                <w:rFonts w:hint="eastAsia"/>
                <w:szCs w:val="22"/>
                <w:lang w:val="en-US" w:eastAsia="zh-CN"/>
              </w:rPr>
              <w:t>环境因素识别与控制程序</w:t>
            </w:r>
            <w:r>
              <w:rPr>
                <w:rFonts w:hint="eastAsia"/>
                <w:szCs w:val="22"/>
              </w:rPr>
              <w:t>》</w:t>
            </w:r>
            <w:r>
              <w:rPr>
                <w:rFonts w:hint="default"/>
                <w:szCs w:val="22"/>
              </w:rPr>
              <w:t>，</w:t>
            </w:r>
            <w:r>
              <w:rPr>
                <w:rFonts w:hint="eastAsia"/>
                <w:szCs w:val="22"/>
                <w:lang w:eastAsia="zh-CN"/>
              </w:rPr>
              <w:t>《</w:t>
            </w:r>
            <w:r>
              <w:rPr>
                <w:rFonts w:hint="eastAsia"/>
                <w:szCs w:val="22"/>
                <w:lang w:val="en-US" w:eastAsia="zh-CN"/>
              </w:rPr>
              <w:t>危险源辨识和风险评价管理程序</w:t>
            </w:r>
            <w:r>
              <w:rPr>
                <w:rFonts w:hint="eastAsia"/>
                <w:szCs w:val="22"/>
                <w:lang w:eastAsia="zh-CN"/>
              </w:rPr>
              <w:t>》，</w:t>
            </w:r>
            <w:r>
              <w:rPr>
                <w:rFonts w:hint="default"/>
                <w:szCs w:val="22"/>
              </w:rPr>
              <w:t>经文审符合标准要求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</w:rPr>
              <w:t>提供《</w:t>
            </w:r>
            <w:r>
              <w:rPr>
                <w:rFonts w:hint="eastAsia"/>
                <w:szCs w:val="22"/>
                <w:lang w:val="en-US" w:eastAsia="zh-CN"/>
              </w:rPr>
              <w:t>各部门环境因素汇总表</w:t>
            </w:r>
            <w:r>
              <w:rPr>
                <w:rFonts w:hint="default"/>
                <w:szCs w:val="22"/>
              </w:rPr>
              <w:t>》，包括</w:t>
            </w:r>
            <w:r>
              <w:rPr>
                <w:rFonts w:hint="eastAsia"/>
                <w:szCs w:val="22"/>
                <w:lang w:val="en-US" w:eastAsia="zh-CN"/>
              </w:rPr>
              <w:t>废旧灯具处理、氟利昂排放、能源消耗、污水排放、水电了泄露、电脑使用、纸张废弃、烟雾排放、潜在及火灾、废旧墨盒处理、水消耗、生活垃圾排放、火灾发生等环境因素。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default"/>
                <w:szCs w:val="22"/>
              </w:rPr>
              <w:t>提供《</w:t>
            </w:r>
            <w:r>
              <w:rPr>
                <w:rFonts w:hint="eastAsia"/>
                <w:szCs w:val="22"/>
                <w:lang w:val="en-US" w:eastAsia="zh-CN"/>
              </w:rPr>
              <w:t>公司</w:t>
            </w:r>
            <w:r>
              <w:rPr>
                <w:rFonts w:hint="default"/>
                <w:szCs w:val="22"/>
              </w:rPr>
              <w:t>重要环境因素清单》，其中重要环境因素：</w:t>
            </w:r>
            <w:r>
              <w:rPr>
                <w:rFonts w:hint="eastAsia"/>
                <w:szCs w:val="22"/>
                <w:lang w:val="en-US" w:eastAsia="zh-CN"/>
              </w:rPr>
              <w:t>意外火灾事故发生、固体废弃物处理</w:t>
            </w:r>
            <w:r>
              <w:rPr>
                <w:rFonts w:hint="default"/>
                <w:szCs w:val="22"/>
              </w:rPr>
              <w:t>，评价准确</w:t>
            </w:r>
            <w:r>
              <w:rPr>
                <w:rFonts w:hint="eastAsia"/>
                <w:szCs w:val="22"/>
                <w:lang w:eastAsia="zh-CN"/>
              </w:rPr>
              <w:t>。</w:t>
            </w:r>
          </w:p>
          <w:p>
            <w:pPr>
              <w:rPr>
                <w:rFonts w:hint="default"/>
                <w:szCs w:val="22"/>
              </w:rPr>
            </w:pPr>
            <w:r>
              <w:rPr>
                <w:rFonts w:hint="eastAsia"/>
                <w:szCs w:val="22"/>
              </w:rPr>
              <w:t>提供</w:t>
            </w:r>
            <w:r>
              <w:rPr>
                <w:rFonts w:hint="eastAsia"/>
                <w:szCs w:val="22"/>
                <w:lang w:val="en-US" w:eastAsia="zh-CN"/>
              </w:rPr>
              <w:t>各部门</w:t>
            </w:r>
            <w:r>
              <w:rPr>
                <w:rFonts w:hint="eastAsia"/>
                <w:szCs w:val="22"/>
              </w:rPr>
              <w:t>《</w:t>
            </w:r>
            <w:r>
              <w:rPr>
                <w:rFonts w:hint="eastAsia"/>
                <w:szCs w:val="22"/>
                <w:lang w:val="en-US" w:eastAsia="zh-CN"/>
              </w:rPr>
              <w:t>险源调查评价表</w:t>
            </w:r>
            <w:r>
              <w:rPr>
                <w:rFonts w:hint="eastAsia"/>
                <w:szCs w:val="22"/>
              </w:rPr>
              <w:t>》，</w:t>
            </w:r>
            <w:r>
              <w:rPr>
                <w:rFonts w:hint="eastAsia"/>
                <w:szCs w:val="22"/>
                <w:lang w:val="en-US" w:eastAsia="zh-CN"/>
              </w:rPr>
              <w:t>潜在危害因素可能导致的事故</w:t>
            </w:r>
            <w:r>
              <w:rPr>
                <w:rFonts w:hint="eastAsia"/>
                <w:szCs w:val="22"/>
              </w:rPr>
              <w:t>包括：</w:t>
            </w:r>
            <w:r>
              <w:rPr>
                <w:rFonts w:hint="eastAsia"/>
                <w:szCs w:val="22"/>
                <w:lang w:val="en-US" w:eastAsia="zh-CN"/>
              </w:rPr>
              <w:t>触电、着火、开水烫伤、电磁辐射、高空坠落、中暑、跌伤、火灾、感染疾病、高处坠落、物体打击、机械伤害、人身伤害等。</w:t>
            </w:r>
            <w:r>
              <w:rPr>
                <w:rFonts w:hint="eastAsia"/>
                <w:szCs w:val="22"/>
                <w:lang w:eastAsia="zh-CN"/>
              </w:rPr>
              <w:t>评价</w:t>
            </w:r>
            <w:r>
              <w:rPr>
                <w:rFonts w:hint="eastAsia"/>
                <w:szCs w:val="22"/>
              </w:rPr>
              <w:t>基本</w:t>
            </w:r>
            <w:r>
              <w:rPr>
                <w:rFonts w:hint="eastAsia"/>
                <w:szCs w:val="22"/>
                <w:lang w:eastAsia="zh-CN"/>
              </w:rPr>
              <w:t>全面。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提供《</w:t>
            </w:r>
            <w:r>
              <w:rPr>
                <w:rFonts w:hint="eastAsia"/>
                <w:szCs w:val="22"/>
                <w:lang w:val="en-US" w:eastAsia="zh-CN"/>
              </w:rPr>
              <w:t>不可接受风险</w:t>
            </w:r>
            <w:r>
              <w:rPr>
                <w:rFonts w:hint="eastAsia"/>
                <w:szCs w:val="22"/>
              </w:rPr>
              <w:t>清单》，</w:t>
            </w:r>
            <w:r>
              <w:rPr>
                <w:rFonts w:hint="eastAsia"/>
                <w:szCs w:val="22"/>
                <w:lang w:val="en-US" w:eastAsia="zh-CN"/>
              </w:rPr>
              <w:t>潜在火灾、触电、机械伤害、物体打击、高空坠落等危险源导致的人员伤亡、事故发生等为不可接受风险</w:t>
            </w:r>
            <w:r>
              <w:rPr>
                <w:rFonts w:hint="eastAsia"/>
                <w:szCs w:val="22"/>
              </w:rPr>
              <w:t>，评价准确</w:t>
            </w:r>
            <w:r>
              <w:rPr>
                <w:rFonts w:hint="eastAsia"/>
                <w:szCs w:val="22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szCs w:val="22"/>
                <w:lang w:eastAsia="zh-CN"/>
              </w:rPr>
            </w:pPr>
          </w:p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B33737"/>
    <w:rsid w:val="65830B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李蒙生</cp:lastModifiedBy>
  <dcterms:modified xsi:type="dcterms:W3CDTF">2021-04-18T12:58:21Z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DDAFA9519DE044A9A812FE2EF96C1EA7</vt:lpwstr>
  </property>
</Properties>
</file>