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北京启奥宏达装饰有限公司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北京市东城区东四十条甲22号南新仓商务大厦B座622室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范佳玉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010-51690311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791583154@qq.com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付彦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0636-2019-Q-2021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窗帘布艺、地毯、卷帘的设计（资质范围内除外）及销售；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17145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843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2021.4.15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企业基本信息（资质、范围、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初审问题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验证、被投诉或事故、政府主管部门抽查情况）；组织及其环境；相关方的需求和希望；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/财务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部门岗位、职责和权限； 部门目标和实现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；外部提供的过程、产品和服务的控制；分析和评价；内部审核；不合格和纠正措施。 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销售服务的策划和控制；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产品和服务的要求；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销售服务提供的控制；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项目运营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 运行的策划和控制；生产和服务提供的控制；产品和服务的放行；不合格品控制。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9" w:name="_GoBack"/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/8.6/8.7</w:t>
            </w:r>
            <w:bookmarkEnd w:id="19"/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4266F"/>
    <w:rsid w:val="39E72AA1"/>
    <w:rsid w:val="5D906A62"/>
    <w:rsid w:val="71382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2021-04-15T06:31:17Z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67FD1954CCBF42C3B30D036C7A3595F0</vt:lpwstr>
  </property>
</Properties>
</file>