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8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94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综合部（含财务）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张伟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陪同人员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张青</w:t>
            </w:r>
            <w:r>
              <w:rPr>
                <w:rFonts w:hint="eastAsia" w:ascii="宋体" w:hAnsi="宋体" w:cs="Times New Roman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48" w:type="dxa"/>
            <w:vAlign w:val="center"/>
          </w:tcPr>
          <w:p>
            <w:pPr>
              <w:spacing w:before="12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张磊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      审核时间：202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年4月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64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48" w:type="dxa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sz w:val="21"/>
                <w:szCs w:val="21"/>
              </w:rPr>
              <w:t>: 5.3/5.4/6.1/6.2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8.1.2/8.1.3/8.2/9.2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6.1/6.2/9.2</w:t>
            </w:r>
          </w:p>
        </w:tc>
        <w:tc>
          <w:tcPr>
            <w:tcW w:w="64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补充现场审核确认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现场确认，现场审核材料无误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QO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94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负责公司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人力资源、文件管理、体系推动等工作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部门负责人对本部门的职责和权限以及工作流程清楚、明确完成本部门的目标指标。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应对风险和机遇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948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在策划管理体系时考虑了风险和机遇以及相应的应对措施，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企业编辑了《风险和机遇的应对措施控制程序》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、手册第6.1条款，</w:t>
            </w:r>
            <w:r>
              <w:rPr>
                <w:rFonts w:hint="eastAsia" w:ascii="宋体" w:hAnsi="宋体" w:cs="宋体"/>
                <w:sz w:val="21"/>
                <w:szCs w:val="21"/>
              </w:rPr>
              <w:t>明确风险和机遇事件的识别方法/途径、风险和机遇事件的评估方式、制定主要风险和机遇事件的应对措施的要求、评价这些措施有效性的方法。将需要应对的风险和机遇进行风险分析确定风险级别（一般风险、高风险），在管理体系所确定的过程（客户开发、供应商的要求等）中，整合制定针对性管理措施（如程序控制等）。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1.外部因素主要有：a)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法规要求</w:t>
            </w:r>
            <w:r>
              <w:rPr>
                <w:rFonts w:hint="eastAsia" w:ascii="宋体" w:hAnsi="宋体" w:cs="宋体"/>
                <w:sz w:val="21"/>
                <w:szCs w:val="21"/>
              </w:rPr>
              <w:t>；b)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相关方要求（监管部门的监管力度，供应商的要求，客户的需求，第三方的要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求）</w:t>
            </w:r>
            <w:r>
              <w:rPr>
                <w:rFonts w:hint="eastAsia" w:ascii="宋体" w:hAnsi="宋体" w:cs="宋体"/>
                <w:sz w:val="21"/>
                <w:szCs w:val="21"/>
              </w:rPr>
              <w:t>；c)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新领域、新设备、新工艺；</w:t>
            </w:r>
            <w:r>
              <w:rPr>
                <w:rFonts w:hint="eastAsia" w:ascii="宋体" w:hAnsi="宋体" w:cs="宋体"/>
                <w:sz w:val="21"/>
                <w:szCs w:val="21"/>
              </w:rPr>
              <w:t>d)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市场占有率、市场领先趋势、顾客增长趋势</w:t>
            </w:r>
            <w:r>
              <w:rPr>
                <w:rFonts w:hint="eastAsia" w:ascii="宋体" w:hAnsi="宋体" w:cs="宋体"/>
                <w:sz w:val="21"/>
                <w:szCs w:val="21"/>
              </w:rPr>
              <w:t>等；</w:t>
            </w:r>
          </w:p>
          <w:p>
            <w:pPr>
              <w:spacing w:line="280" w:lineRule="exact"/>
              <w:ind w:left="420" w:leftChars="100" w:hanging="210" w:hangingChars="1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2.内部因素包括：a)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管理流程</w:t>
            </w:r>
            <w:r>
              <w:rPr>
                <w:rFonts w:hint="eastAsia" w:ascii="宋体" w:hAnsi="宋体" w:cs="宋体"/>
                <w:sz w:val="21"/>
                <w:szCs w:val="21"/>
              </w:rPr>
              <w:t>；b)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销售服务能力</w:t>
            </w:r>
            <w:r>
              <w:rPr>
                <w:rFonts w:hint="eastAsia" w:ascii="宋体" w:hAnsi="宋体" w:cs="宋体"/>
                <w:sz w:val="21"/>
                <w:szCs w:val="21"/>
              </w:rPr>
              <w:t>；c)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费用支付资金回收</w:t>
            </w:r>
            <w:r>
              <w:rPr>
                <w:rFonts w:hint="eastAsia" w:ascii="宋体" w:hAnsi="宋体" w:cs="宋体"/>
                <w:sz w:val="21"/>
                <w:szCs w:val="21"/>
              </w:rPr>
              <w:t>；d)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人员的流动 员工业务素质 绩效考核</w:t>
            </w:r>
            <w:r>
              <w:rPr>
                <w:rFonts w:hint="eastAsia" w:ascii="宋体" w:hAnsi="宋体" w:cs="宋体"/>
                <w:sz w:val="21"/>
                <w:szCs w:val="21"/>
              </w:rPr>
              <w:t>；e)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基础设施管理 公司运行环境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风险与机会评价与应对策划表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》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外因：新领域、新设备、新工艺，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风险：公司现有的作业设备如果比较落后，造成业务的成本较高，缺少市场竞争力，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导致公司利润下滑，公司员工福利不能保障。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机遇：通过引进新的设备、工艺，提高公司的作业水平，降低业务成本，提高公司的市场竞争力，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企业利润增加，保障员工福利。</w:t>
            </w:r>
          </w:p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运行控制措施：公司根据目前的技术水平，制定的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作业计划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和设备更新计划，相关职能部门予以有效落实。</w:t>
            </w: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内因：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管理流程风险：目前公司管理流程基本覆盖了公司日常工作，但是流程执行力如果得不到保证，会对公司运行带来一定的风险，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员工期望需求得不到沟通。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机遇：完善流程，提高执行力，可以提高公司的管理水平，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员工或员工代表能参与公司管理，员工期望能够得到沟通。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运行控制措施：1.各级部门必须严格按照流程开展日常工作，对出现的不符合情况及时调整文件，保持流程的可操作性； 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查《不可接受风险清单》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不可接受风险：■机械伤害、■职业病、■火灾、■高空坠物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措施：1、员工安全培训，制定应急响应；2、配置适量的消防器材；3、对操作工进行设备安全操作培训；4、对设备进行日常维护保养；5、危险部位、运转部位进行防护措施；6、张贴警示标识；7、按期发放劳保用品并检查正确穿戴情况；8安装环保设备，在厂房内无组织排放；9厂房隔声，配套消音器、基础减震；10员工带口罩、耳塞.</w:t>
            </w:r>
          </w:p>
          <w:p>
            <w:pPr>
              <w:pStyle w:val="2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查《危险源辨识及风险评价表》：</w:t>
            </w:r>
          </w:p>
          <w:p>
            <w:pPr>
              <w:pStyle w:val="2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违反库房管理规定（库房吸烟、明火作业、避雷设施破坏）；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卸车时采取措施不当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；发货区域车辆多，刹车失灵，车速快，不拉手闸，停车混乱等等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措施：严格执行库房管理，配备消防系统，并经常检查是否在有效期内；装卸车时，要有专人指挥，专人监护，信号联络准确畅通，并对周围环境进行确认；员工安全培训，制定应急响应；建立慢行标志，划出停车线等等。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948" w:type="dxa"/>
            <w:vAlign w:val="center"/>
          </w:tcPr>
          <w:p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分解到该部门的目标：           考核结果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2019年4季度）</w:t>
            </w:r>
          </w:p>
          <w:p>
            <w:pPr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查到办综合部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门目标：                          </w:t>
            </w:r>
          </w:p>
          <w:p>
            <w:pPr>
              <w:pStyle w:val="2"/>
              <w:ind w:firstLine="46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文件打印分发错误率0，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</w:t>
            </w:r>
          </w:p>
          <w:p>
            <w:pPr>
              <w:pStyle w:val="2"/>
              <w:ind w:firstLine="46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培训计划达成率100%，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</w:t>
            </w:r>
          </w:p>
          <w:p>
            <w:pPr>
              <w:pStyle w:val="2"/>
              <w:ind w:firstLine="46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新员工上岗培训合格率达到100%，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</w:t>
            </w:r>
          </w:p>
          <w:p>
            <w:pPr>
              <w:pStyle w:val="2"/>
              <w:ind w:firstLine="46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固体废弃物分类收集处置率100%，完成</w:t>
            </w:r>
          </w:p>
          <w:p>
            <w:pPr>
              <w:pStyle w:val="2"/>
              <w:ind w:firstLine="46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火灾事故为0，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</w:t>
            </w:r>
          </w:p>
          <w:p>
            <w:pPr>
              <w:pStyle w:val="2"/>
              <w:ind w:firstLine="460" w:firstLineChars="20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管理方案使用资金提供及时率100% 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考核人员：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，时间；20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-20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9.1.3</w:t>
            </w:r>
          </w:p>
        </w:tc>
        <w:tc>
          <w:tcPr>
            <w:tcW w:w="10948" w:type="dxa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查通过体系运行所进行监视和测量结果的分析评价：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1.产品的符合性：通过原材料进货检验、生产过程控制、成品检验及不合格品的控制达到产品的符合性；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2.顾客满意程度：每年对客户进行一次顾客满意度调查，经统计顾客满意度达到98%，达到了预期目标；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3.供应商绩效：每月统计供应商交付绩效，由采购员填写供应商绩效统计表。</w:t>
            </w:r>
          </w:p>
          <w:p>
            <w:pPr>
              <w:tabs>
                <w:tab w:val="left" w:pos="8757"/>
              </w:tabs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4.质量管理绩效和有效性：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ab/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5.体系策划的有效实施；详见上述1-4条内容；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6.针对识别出的风险和机遇采取了相应的措施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7.外部供方的绩效进行评价：从产品质量、交货期、价格、售后服务等方面基本满足要求，且主要原材料已与供货方建立了长期的合作供需关系。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8.管理体系改进的需求：通过体系运行，产品的符合性、内审、管评的有效性及企业持续改进，不断完善各项软硬件环境，提高产品质量，满足客户需求。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综上所述，基本符合标准要求。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QO</w:t>
            </w:r>
            <w:r>
              <w:rPr>
                <w:rFonts w:hint="eastAsia"/>
                <w:color w:val="auto"/>
                <w:sz w:val="21"/>
                <w:szCs w:val="21"/>
              </w:rPr>
              <w:t>9.2</w:t>
            </w:r>
          </w:p>
          <w:p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8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公司编制并实施了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 xml:space="preserve">XL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QO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ES02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-2019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-21《内部审核控制程序》，并能按标准规定对内部审核的策划、实施、人员安排与资质、内部审核的记录、不符合项的分析与验证，以及审核的结论等开展内部审核。</w:t>
            </w:r>
          </w:p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由管理者代表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张伟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定期组织内部审核，一般每年进行一次内部审核，时间间隔不超过12个月，抽查最近一次的内部审核情况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年度审核计划：提供《内部审核实施计划》，其内容已包括了审核目的、范围、准则、审核方法、日期（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计划2020年12月18日进行内审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），编制：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 xml:space="preserve">    审核：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 xml:space="preserve">     批准：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丁荟荟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 xml:space="preserve"> 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编制日期：</w:t>
            </w:r>
            <w:r>
              <w:rPr>
                <w:rFonts w:hint="eastAsia"/>
                <w:color w:val="000000"/>
                <w:lang w:val="en-US" w:eastAsia="zh-CN"/>
              </w:rPr>
              <w:t>2020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lang w:eastAsia="zh-CN"/>
              </w:rPr>
              <w:t>月1</w:t>
            </w:r>
            <w:r>
              <w:rPr>
                <w:rFonts w:hint="eastAsia"/>
                <w:color w:val="000000"/>
                <w:lang w:val="en-US" w:eastAsia="zh-CN"/>
              </w:rPr>
              <w:t>0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内部审核实施：组长：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，组员：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杨丽萍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审核按计划进行，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名内审员经内部培训合格，能力尚可。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审核计划已考虑到互查的公正性，无审核员审核本部门的情况，计划内容涉及各部门，条款覆盖整个标准。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提供了《内部审核检查表》，条款与策划一致，记录真实、完整。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抽查内部审核检查表及审核记录，审核时间：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；内部审核检查表的编制及抽样；基本符合规定的要求，审核记录抽取样本，记录的填写基本齐全，内容均基本符合标准要求。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本次内审发现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个一般不符合项，分布在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条款,针对这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个不合格，责任部门已分析了原因并采取了纠正措施，按要求进行了整改，最后内审员进行了验证，纠正措施实施有效。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内部审核结论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提供了《内部审核报告》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公司内部审核基本有效。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  <w:t>消除危险源和降低职业健康风险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 8.1.2</w:t>
            </w:r>
          </w:p>
        </w:tc>
        <w:tc>
          <w:tcPr>
            <w:tcW w:w="10948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企业编辑《事故、事件、不符合管理程序》，《危险源辨识、风险评价和控制程序》，《应急准备和响应控制程序》等控制程序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应对风险的措施类型包括： 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低风险代替高风险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工程控制或者工作重组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sz w:val="21"/>
                <w:szCs w:val="21"/>
              </w:rPr>
              <w:t>消除风险源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管理控制，人员培训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发放劳保用品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列举2~3项应对主要风险的描述：         </w:t>
            </w:r>
          </w:p>
          <w:tbl>
            <w:tblPr>
              <w:tblStyle w:val="13"/>
              <w:tblpPr w:leftFromText="180" w:rightFromText="180" w:vertAnchor="text" w:horzAnchor="page" w:tblpX="97" w:tblpY="208"/>
              <w:tblOverlap w:val="never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4861"/>
              <w:gridCol w:w="171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主要的风险描述</w:t>
                  </w:r>
                </w:p>
              </w:tc>
              <w:tc>
                <w:tcPr>
                  <w:tcW w:w="4861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应对措施</w:t>
                  </w:r>
                </w:p>
              </w:tc>
              <w:tc>
                <w:tcPr>
                  <w:tcW w:w="1717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  <w:t>消防器材配备不齐或未定期充装</w:t>
                  </w:r>
                </w:p>
              </w:tc>
              <w:tc>
                <w:tcPr>
                  <w:tcW w:w="486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配备齐全有效的消防器材，并经常检查是否在有效期内，用完必须上报重新灌装</w:t>
                  </w:r>
                </w:p>
              </w:tc>
              <w:tc>
                <w:tcPr>
                  <w:tcW w:w="1717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违章使用电器</w:t>
                  </w:r>
                  <w:r>
                    <w:rPr>
                      <w:rFonts w:hint="eastAsia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，造成用电安全，引发火灾</w:t>
                  </w:r>
                </w:p>
              </w:tc>
              <w:tc>
                <w:tcPr>
                  <w:tcW w:w="486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加强教育，按照制度规定执行</w:t>
                  </w:r>
                </w:p>
              </w:tc>
              <w:tc>
                <w:tcPr>
                  <w:tcW w:w="1717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有效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4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办公室使用电器使用不当，带电线头裸露</w:t>
                  </w:r>
                  <w:r>
                    <w:rPr>
                      <w:rFonts w:hint="eastAsia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  <w:t>，触电危险</w:t>
                  </w:r>
                </w:p>
              </w:tc>
              <w:tc>
                <w:tcPr>
                  <w:tcW w:w="4861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通知专业人员处理，裸露线头包好</w:t>
                  </w:r>
                </w:p>
              </w:tc>
              <w:tc>
                <w:tcPr>
                  <w:tcW w:w="1717" w:type="dxa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lang w:val="en-US" w:eastAsia="zh-CN"/>
              </w:rPr>
              <w:t>变更管理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 8.1.3</w:t>
            </w:r>
          </w:p>
        </w:tc>
        <w:tc>
          <w:tcPr>
            <w:tcW w:w="10948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与综合部主管沟通，企业未发生变更</w:t>
            </w: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 8.2</w:t>
            </w:r>
          </w:p>
        </w:tc>
        <w:tc>
          <w:tcPr>
            <w:tcW w:w="10948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制定了《</w:t>
            </w:r>
            <w:r>
              <w:rPr>
                <w:rFonts w:hint="eastAsia" w:ascii="宋体" w:hAnsi="宋体"/>
                <w:iCs/>
                <w:sz w:val="21"/>
                <w:szCs w:val="21"/>
              </w:rPr>
              <w:t>应急准备和响应控制程序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》，包含有事件级别及不同级别事件的处理程序、事件处理组织机构及职责分工、通用及特殊处理程序、各岗位要求等。具有可操作性。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查到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《安全生产应急预案》，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成立应急指挥小组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成员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组长：丁荟荟，电话：18956670788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副组长：张伟，电话：18956626653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 员：张青、杨丽萍、高怀亮、李成斌等员工。</w:t>
            </w:r>
          </w:p>
          <w:p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自体系运行以来尚未发生紧急情况。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查看《应急预案演练记录》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/>
                <w:bCs/>
                <w:sz w:val="21"/>
                <w:szCs w:val="21"/>
              </w:rPr>
              <w:t xml:space="preserve">  审核：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丁荟荟</w:t>
            </w:r>
            <w:r>
              <w:rPr>
                <w:rFonts w:hint="eastAsia"/>
                <w:bCs/>
                <w:sz w:val="21"/>
                <w:szCs w:val="21"/>
              </w:rPr>
              <w:t xml:space="preserve"> 日期：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3日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进行“火灾消防应急预案演练”，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演练程序：报警、警戒、疏散、急救预演、器材使用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预案不足：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、演练程序部分员工不太清楚；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、个人防护需求无人提及；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、员工对风险危害的识别能力有待提高；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、个别部门缺席演练，且未制定替代人，演练重视程度不够。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结论：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公司制定的应急预案和响应措施，具有可操作性、充分、适宜，能满足应急响应的要求。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4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/>
    <w:p/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9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9"/>
        <w:rFonts w:hint="default"/>
      </w:rPr>
      <w:t>北京国标联合认证有限公司</w:t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  <w:r>
      <w:rPr>
        <w:rStyle w:val="19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9"/>
        <w:rFonts w:hint="default"/>
      </w:rPr>
      <w:t xml:space="preserve">        </w:t>
    </w:r>
    <w:r>
      <w:rPr>
        <w:rStyle w:val="19"/>
        <w:rFonts w:hint="default"/>
        <w:w w:val="90"/>
      </w:rPr>
      <w:t>Beijing International Standard united Certification Co.,Ltd.</w:t>
    </w:r>
    <w:r>
      <w:rPr>
        <w:rStyle w:val="19"/>
        <w:rFonts w:hint="default"/>
        <w:w w:val="90"/>
        <w:szCs w:val="21"/>
      </w:rPr>
      <w:t xml:space="preserve">  </w:t>
    </w:r>
    <w:r>
      <w:rPr>
        <w:rStyle w:val="19"/>
        <w:rFonts w:hint="default"/>
        <w:w w:val="90"/>
        <w:sz w:val="20"/>
      </w:rPr>
      <w:t xml:space="preserve"> </w:t>
    </w:r>
    <w:r>
      <w:rPr>
        <w:rStyle w:val="19"/>
        <w:rFonts w:hint="default"/>
        <w:w w:val="90"/>
      </w:rPr>
      <w:t xml:space="preserve"> 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435720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1543545"/>
    <w:rsid w:val="01634F9E"/>
    <w:rsid w:val="01A92578"/>
    <w:rsid w:val="020B3087"/>
    <w:rsid w:val="02267E94"/>
    <w:rsid w:val="02B352DC"/>
    <w:rsid w:val="03F0231B"/>
    <w:rsid w:val="04275363"/>
    <w:rsid w:val="04974010"/>
    <w:rsid w:val="052A0FA6"/>
    <w:rsid w:val="05E14F2D"/>
    <w:rsid w:val="05EC306D"/>
    <w:rsid w:val="05FD3DBB"/>
    <w:rsid w:val="065552F2"/>
    <w:rsid w:val="069B4DEB"/>
    <w:rsid w:val="06EF6D0A"/>
    <w:rsid w:val="078C71DE"/>
    <w:rsid w:val="078F0060"/>
    <w:rsid w:val="07AC0224"/>
    <w:rsid w:val="080502F5"/>
    <w:rsid w:val="080E6A87"/>
    <w:rsid w:val="08AE1296"/>
    <w:rsid w:val="0AE2787E"/>
    <w:rsid w:val="0B3D1330"/>
    <w:rsid w:val="0B9A0AFE"/>
    <w:rsid w:val="0BCF3C86"/>
    <w:rsid w:val="0C147A06"/>
    <w:rsid w:val="0C4524C1"/>
    <w:rsid w:val="0CAA46D6"/>
    <w:rsid w:val="0CBF45C8"/>
    <w:rsid w:val="0DCA4FE3"/>
    <w:rsid w:val="0E8D2396"/>
    <w:rsid w:val="0EA47D04"/>
    <w:rsid w:val="108219C2"/>
    <w:rsid w:val="11034394"/>
    <w:rsid w:val="111A0E3D"/>
    <w:rsid w:val="12A03C5A"/>
    <w:rsid w:val="14572B2E"/>
    <w:rsid w:val="152C3BC4"/>
    <w:rsid w:val="15D3638D"/>
    <w:rsid w:val="161B2F67"/>
    <w:rsid w:val="168006F9"/>
    <w:rsid w:val="16B025F4"/>
    <w:rsid w:val="17782F3E"/>
    <w:rsid w:val="17880975"/>
    <w:rsid w:val="18090ADC"/>
    <w:rsid w:val="19364D2F"/>
    <w:rsid w:val="1A0055FF"/>
    <w:rsid w:val="1A276941"/>
    <w:rsid w:val="1A7F7286"/>
    <w:rsid w:val="1B005D33"/>
    <w:rsid w:val="1B3B76AC"/>
    <w:rsid w:val="1B6C240F"/>
    <w:rsid w:val="1BD7740A"/>
    <w:rsid w:val="1C0305A5"/>
    <w:rsid w:val="1DF648A8"/>
    <w:rsid w:val="1F6F4E5A"/>
    <w:rsid w:val="1FA71CAA"/>
    <w:rsid w:val="1FB64E31"/>
    <w:rsid w:val="20032774"/>
    <w:rsid w:val="20B759DF"/>
    <w:rsid w:val="20C15F1E"/>
    <w:rsid w:val="211B212F"/>
    <w:rsid w:val="21CB067D"/>
    <w:rsid w:val="22546FE3"/>
    <w:rsid w:val="22D65B1F"/>
    <w:rsid w:val="232857F5"/>
    <w:rsid w:val="232A3457"/>
    <w:rsid w:val="2377791A"/>
    <w:rsid w:val="237F7E7A"/>
    <w:rsid w:val="247E185B"/>
    <w:rsid w:val="25942072"/>
    <w:rsid w:val="25C65AD9"/>
    <w:rsid w:val="25D91AAB"/>
    <w:rsid w:val="25DA2CD3"/>
    <w:rsid w:val="26394A04"/>
    <w:rsid w:val="26A33CA6"/>
    <w:rsid w:val="28427941"/>
    <w:rsid w:val="285C0ECC"/>
    <w:rsid w:val="29BD7E5C"/>
    <w:rsid w:val="2B270ABC"/>
    <w:rsid w:val="2BA74785"/>
    <w:rsid w:val="2C005AFD"/>
    <w:rsid w:val="2C1E1F3D"/>
    <w:rsid w:val="2C32157A"/>
    <w:rsid w:val="2D082DC9"/>
    <w:rsid w:val="2E15111F"/>
    <w:rsid w:val="2E687894"/>
    <w:rsid w:val="2F067D30"/>
    <w:rsid w:val="2F3F4E71"/>
    <w:rsid w:val="2F5B53F5"/>
    <w:rsid w:val="2FDC5010"/>
    <w:rsid w:val="309408C0"/>
    <w:rsid w:val="31E50A31"/>
    <w:rsid w:val="3219223A"/>
    <w:rsid w:val="331843CC"/>
    <w:rsid w:val="335617CB"/>
    <w:rsid w:val="35397F8B"/>
    <w:rsid w:val="354945DC"/>
    <w:rsid w:val="35AA1D7C"/>
    <w:rsid w:val="35BB6059"/>
    <w:rsid w:val="35C45453"/>
    <w:rsid w:val="36DC60F3"/>
    <w:rsid w:val="37EA57E2"/>
    <w:rsid w:val="391279E9"/>
    <w:rsid w:val="3A811018"/>
    <w:rsid w:val="3AE63FF0"/>
    <w:rsid w:val="3BB17D02"/>
    <w:rsid w:val="3BBD703F"/>
    <w:rsid w:val="3BD73AF3"/>
    <w:rsid w:val="3BE125FD"/>
    <w:rsid w:val="3C7C3123"/>
    <w:rsid w:val="3CBB5117"/>
    <w:rsid w:val="3D4327CF"/>
    <w:rsid w:val="3E76584F"/>
    <w:rsid w:val="3E970379"/>
    <w:rsid w:val="3FAA38C7"/>
    <w:rsid w:val="41121A4D"/>
    <w:rsid w:val="419D1FB6"/>
    <w:rsid w:val="41B27F0E"/>
    <w:rsid w:val="41C03FF4"/>
    <w:rsid w:val="42134442"/>
    <w:rsid w:val="44142CAA"/>
    <w:rsid w:val="452A3FEB"/>
    <w:rsid w:val="46B24A60"/>
    <w:rsid w:val="47583873"/>
    <w:rsid w:val="47635440"/>
    <w:rsid w:val="47B01AAA"/>
    <w:rsid w:val="47F915A9"/>
    <w:rsid w:val="487F2E11"/>
    <w:rsid w:val="48C70A5C"/>
    <w:rsid w:val="497C64F6"/>
    <w:rsid w:val="49C72CB3"/>
    <w:rsid w:val="4A51309B"/>
    <w:rsid w:val="4AF57240"/>
    <w:rsid w:val="4B2451B9"/>
    <w:rsid w:val="4C3B6E77"/>
    <w:rsid w:val="4C5148C1"/>
    <w:rsid w:val="4D194C3C"/>
    <w:rsid w:val="4DDA27BD"/>
    <w:rsid w:val="4E583D3A"/>
    <w:rsid w:val="4FCC4C8D"/>
    <w:rsid w:val="503C7D74"/>
    <w:rsid w:val="50A252CB"/>
    <w:rsid w:val="50C415B7"/>
    <w:rsid w:val="51160C39"/>
    <w:rsid w:val="51A32497"/>
    <w:rsid w:val="51D5591C"/>
    <w:rsid w:val="527D3989"/>
    <w:rsid w:val="52992A15"/>
    <w:rsid w:val="54291A24"/>
    <w:rsid w:val="545570C2"/>
    <w:rsid w:val="549038E0"/>
    <w:rsid w:val="54DB7DF6"/>
    <w:rsid w:val="551A1C70"/>
    <w:rsid w:val="562E348C"/>
    <w:rsid w:val="569C6FA8"/>
    <w:rsid w:val="576B350A"/>
    <w:rsid w:val="58781EE0"/>
    <w:rsid w:val="592438C2"/>
    <w:rsid w:val="597235E5"/>
    <w:rsid w:val="5A2B2208"/>
    <w:rsid w:val="5A360E5F"/>
    <w:rsid w:val="5B40627B"/>
    <w:rsid w:val="5B58335E"/>
    <w:rsid w:val="5C164554"/>
    <w:rsid w:val="5C183800"/>
    <w:rsid w:val="5C230EB2"/>
    <w:rsid w:val="5CAD3125"/>
    <w:rsid w:val="5D3F21CB"/>
    <w:rsid w:val="5D4C7180"/>
    <w:rsid w:val="5DA44D99"/>
    <w:rsid w:val="5DA46900"/>
    <w:rsid w:val="5DB15E29"/>
    <w:rsid w:val="5DBB07A1"/>
    <w:rsid w:val="5EA12B9A"/>
    <w:rsid w:val="5F4E655C"/>
    <w:rsid w:val="5FED56DB"/>
    <w:rsid w:val="60B277C9"/>
    <w:rsid w:val="63302F9D"/>
    <w:rsid w:val="63D31347"/>
    <w:rsid w:val="63E90690"/>
    <w:rsid w:val="64CE5D96"/>
    <w:rsid w:val="64F17DD8"/>
    <w:rsid w:val="656D3AF9"/>
    <w:rsid w:val="66FA5B08"/>
    <w:rsid w:val="673218DB"/>
    <w:rsid w:val="675F359D"/>
    <w:rsid w:val="67795685"/>
    <w:rsid w:val="67E00A40"/>
    <w:rsid w:val="67E90437"/>
    <w:rsid w:val="67F22D39"/>
    <w:rsid w:val="69092D39"/>
    <w:rsid w:val="691D0960"/>
    <w:rsid w:val="69BF14E8"/>
    <w:rsid w:val="69D63B02"/>
    <w:rsid w:val="6ABA5A34"/>
    <w:rsid w:val="6B670E53"/>
    <w:rsid w:val="6C347B20"/>
    <w:rsid w:val="6C485A4C"/>
    <w:rsid w:val="6C9B153D"/>
    <w:rsid w:val="6F1B72CC"/>
    <w:rsid w:val="707372C4"/>
    <w:rsid w:val="70D47289"/>
    <w:rsid w:val="710532AC"/>
    <w:rsid w:val="71527437"/>
    <w:rsid w:val="72314DCF"/>
    <w:rsid w:val="7274530C"/>
    <w:rsid w:val="744C0507"/>
    <w:rsid w:val="74620E09"/>
    <w:rsid w:val="75774718"/>
    <w:rsid w:val="76973B19"/>
    <w:rsid w:val="76AB2899"/>
    <w:rsid w:val="76CB5FCE"/>
    <w:rsid w:val="78A92976"/>
    <w:rsid w:val="79B25B6C"/>
    <w:rsid w:val="7AA50B68"/>
    <w:rsid w:val="7B306628"/>
    <w:rsid w:val="7C2A6738"/>
    <w:rsid w:val="7C2E3BAE"/>
    <w:rsid w:val="7C8F7861"/>
    <w:rsid w:val="7CDE25DD"/>
    <w:rsid w:val="7D6F7AD3"/>
    <w:rsid w:val="7DAA6E70"/>
    <w:rsid w:val="7E5233E7"/>
    <w:rsid w:val="7EE9062D"/>
    <w:rsid w:val="7F0C0D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2383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rFonts w:ascii="Calibri" w:hAnsi="Calibri"/>
      <w:b/>
      <w:bCs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 w:val="24"/>
    </w:rPr>
  </w:style>
  <w:style w:type="paragraph" w:styleId="6">
    <w:name w:val="Body Text Indent 2"/>
    <w:basedOn w:val="1"/>
    <w:qFormat/>
    <w:uiPriority w:val="0"/>
    <w:pPr>
      <w:tabs>
        <w:tab w:val="left" w:pos="540"/>
      </w:tabs>
      <w:adjustRightInd w:val="0"/>
      <w:spacing w:line="340" w:lineRule="atLeast"/>
      <w:ind w:left="546" w:firstLine="168"/>
    </w:pPr>
    <w:rPr>
      <w:kern w:val="0"/>
      <w:sz w:val="24"/>
      <w:szCs w:val="20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 2"/>
    <w:basedOn w:val="4"/>
    <w:qFormat/>
    <w:uiPriority w:val="0"/>
    <w:pPr>
      <w:ind w:firstLine="420" w:firstLineChars="200"/>
      <w:jc w:val="left"/>
    </w:pPr>
    <w:rPr>
      <w:rFonts w:eastAsia="仿宋_GB2312"/>
      <w:color w:val="00000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2383"/>
    <w:rPr>
      <w:color w:val="000000"/>
      <w:u w:val="none"/>
    </w:rPr>
  </w:style>
  <w:style w:type="character" w:customStyle="1" w:styleId="16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2021-04-14T00:38:34Z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E8BABF78349E4A3CAB20F0293389D428</vt:lpwstr>
  </property>
</Properties>
</file>