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0061-2020-2021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402"/>
        <w:gridCol w:w="1418"/>
        <w:gridCol w:w="113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080" w:type="dxa"/>
            <w:gridSpan w:val="5"/>
          </w:tcPr>
          <w:p>
            <w:bookmarkStart w:id="1" w:name="组织名称"/>
            <w:r>
              <w:t>胜利油田大源节能设备有限公司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080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2021年04月14日 上午至2021年04月14日 下午 (共1.0天)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889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hint="eastAsia" w:asciiTheme="minorEastAsia" w:hAnsiTheme="minorEastAsia"/>
              </w:rPr>
              <w:t>×</w:t>
            </w:r>
            <w:r>
              <w:rPr>
                <w:rFonts w:hint="eastAsia"/>
              </w:rPr>
              <w:t>份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bookmarkStart w:id="3" w:name="OLE_LINK2"/>
            <w:bookmarkStart w:id="4" w:name="OLE_LINK3"/>
            <w:r>
              <w:t>企业确认人员签字</w:t>
            </w:r>
            <w:bookmarkEnd w:id="3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402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企业确认人员签字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ind w:firstLine="223" w:firstLineChars="0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402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402" w:type="dxa"/>
            <w:vAlign w:val="center"/>
          </w:tcPr>
          <w:p>
            <w:r>
              <w:rPr>
                <w:rFonts w:hint="eastAsia"/>
              </w:rPr>
              <w:t>年度监督决定报告书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W</w:t>
            </w:r>
            <w:r>
              <w:rPr>
                <w:rFonts w:hint="eastAsia"/>
              </w:rPr>
              <w:t>ord文件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</w:tcPr>
          <w:p>
            <w:pPr>
              <w:jc w:val="center"/>
            </w:pPr>
          </w:p>
        </w:tc>
        <w:tc>
          <w:tcPr>
            <w:tcW w:w="3402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bookmarkStart w:id="5" w:name="_GoBack"/>
            <w:bookmarkEnd w:id="5"/>
          </w:p>
        </w:tc>
        <w:tc>
          <w:tcPr>
            <w:tcW w:w="1984" w:type="dxa"/>
            <w:vAlign w:val="center"/>
          </w:tcPr>
          <w:p>
            <w:pPr>
              <w:jc w:val="center"/>
            </w:pPr>
            <w:r>
              <w:t>签字、盖章</w:t>
            </w:r>
          </w:p>
        </w:tc>
      </w:tr>
    </w:tbl>
    <w:p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凡是材料要求中的签字，审核组可采用电子签名。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凡是企业盖章文件，审核组长只需邮寄盖章页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首末次会议记录原件需跟企业盖章材料一起邮寄。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315" w:firstLineChars="15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354" w:firstLineChars="197"/>
      <w:jc w:val="left"/>
    </w:pPr>
    <w:r>
      <w:rPr>
        <w:szCs w:val="22"/>
      </w:rPr>
      <w:pict>
        <v:line id="_x0000_s2050" o:spid="_x0000_s2050" o:spt="20" style="position:absolute;left:0pt;margin-left:-16.95pt;margin-top:16.95pt;height:0pt;width:500.3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AF15DB"/>
    <w:multiLevelType w:val="multilevel"/>
    <w:tmpl w:val="53AF15D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5F60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144</Words>
  <Characters>824</Characters>
  <Lines>6</Lines>
  <Paragraphs>1</Paragraphs>
  <TotalTime>83</TotalTime>
  <ScaleCrop>false</ScaleCrop>
  <LinksUpToDate>false</LinksUpToDate>
  <CharactersWithSpaces>967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dcterms:modified xsi:type="dcterms:W3CDTF">2021-04-15T01:05:13Z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69AF984B1D0A412680818131933086DA</vt:lpwstr>
  </property>
</Properties>
</file>