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5AD4" w:rsidRDefault="00EA507A">
      <w:pPr>
        <w:spacing w:line="36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</w:t>
      </w:r>
      <w:r w:rsidR="00714173">
        <w:rPr>
          <w:rFonts w:hint="eastAsia"/>
          <w:b/>
          <w:sz w:val="28"/>
          <w:szCs w:val="28"/>
        </w:rPr>
        <w:t>1</w:t>
      </w:r>
    </w:p>
    <w:p w:rsidR="00815AD4" w:rsidRDefault="00EA507A">
      <w:pPr>
        <w:spacing w:line="3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接箍表面硬度检测</w:t>
      </w:r>
      <w:r>
        <w:rPr>
          <w:rFonts w:hint="eastAsia"/>
          <w:b/>
          <w:sz w:val="28"/>
          <w:szCs w:val="28"/>
        </w:rPr>
        <w:t>过程测量不确定度评定</w:t>
      </w:r>
      <w:r w:rsidR="0079040B">
        <w:rPr>
          <w:rFonts w:hint="eastAsia"/>
          <w:b/>
          <w:sz w:val="28"/>
          <w:szCs w:val="28"/>
        </w:rPr>
        <w:t>报告</w:t>
      </w:r>
      <w:bookmarkStart w:id="0" w:name="_GoBack"/>
      <w:bookmarkEnd w:id="0"/>
    </w:p>
    <w:p w:rsidR="00815AD4" w:rsidRDefault="00EA507A">
      <w:pPr>
        <w:spacing w:line="360" w:lineRule="exact"/>
        <w:jc w:val="center"/>
        <w:rPr>
          <w:b/>
          <w:sz w:val="18"/>
          <w:szCs w:val="18"/>
        </w:rPr>
      </w:pPr>
      <w:r>
        <w:rPr>
          <w:b/>
          <w:sz w:val="28"/>
          <w:szCs w:val="28"/>
        </w:rPr>
        <w:t xml:space="preserve">           </w:t>
      </w:r>
      <w:r>
        <w:rPr>
          <w:b/>
          <w:sz w:val="18"/>
          <w:szCs w:val="18"/>
        </w:rPr>
        <w:t xml:space="preserve">                                             </w:t>
      </w:r>
    </w:p>
    <w:p w:rsidR="00815AD4" w:rsidRDefault="00EA507A">
      <w:pPr>
        <w:spacing w:line="360" w:lineRule="auto"/>
        <w:rPr>
          <w:color w:val="000000"/>
          <w:sz w:val="24"/>
        </w:rPr>
      </w:pPr>
      <w:r>
        <w:rPr>
          <w:b/>
          <w:bCs/>
          <w:color w:val="000000"/>
          <w:sz w:val="24"/>
        </w:rPr>
        <w:t>1</w:t>
      </w:r>
      <w:r>
        <w:rPr>
          <w:b/>
          <w:bCs/>
          <w:color w:val="000000"/>
          <w:sz w:val="24"/>
        </w:rPr>
        <w:t>、测量过程</w:t>
      </w:r>
      <w:r>
        <w:rPr>
          <w:color w:val="000000"/>
          <w:sz w:val="24"/>
        </w:rPr>
        <w:br/>
        <w:t>1.1</w:t>
      </w:r>
      <w:r>
        <w:rPr>
          <w:color w:val="000000"/>
          <w:sz w:val="24"/>
        </w:rPr>
        <w:t>、测量方法：</w:t>
      </w:r>
      <w:r>
        <w:rPr>
          <w:sz w:val="24"/>
        </w:rPr>
        <w:t>依据</w:t>
      </w:r>
      <w:r>
        <w:rPr>
          <w:sz w:val="24"/>
        </w:rPr>
        <w:t>GB/T230.1-2018</w:t>
      </w:r>
      <w:r>
        <w:rPr>
          <w:sz w:val="24"/>
        </w:rPr>
        <w:t>《金属材料洛氏硬度试验第</w:t>
      </w:r>
      <w:r>
        <w:rPr>
          <w:sz w:val="24"/>
        </w:rPr>
        <w:t>1</w:t>
      </w:r>
      <w:r>
        <w:rPr>
          <w:sz w:val="24"/>
        </w:rPr>
        <w:t>部分试验方法》及仪器使用说明书和相关操作规范。</w:t>
      </w:r>
      <w:r>
        <w:rPr>
          <w:color w:val="000000"/>
          <w:sz w:val="24"/>
        </w:rPr>
        <w:t xml:space="preserve">　　</w:t>
      </w:r>
    </w:p>
    <w:p w:rsidR="00815AD4" w:rsidRDefault="00EA507A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1.2</w:t>
      </w:r>
      <w:r>
        <w:rPr>
          <w:color w:val="000000"/>
          <w:sz w:val="24"/>
        </w:rPr>
        <w:t>、环境条件：温度：（</w:t>
      </w:r>
      <w:r>
        <w:rPr>
          <w:color w:val="000000"/>
          <w:sz w:val="24"/>
        </w:rPr>
        <w:t>20-25</w:t>
      </w:r>
      <w:r>
        <w:rPr>
          <w:color w:val="000000"/>
          <w:sz w:val="24"/>
        </w:rPr>
        <w:t>）</w:t>
      </w:r>
      <w:r>
        <w:rPr>
          <w:color w:val="000000"/>
          <w:sz w:val="24"/>
        </w:rPr>
        <w:t>℃,</w:t>
      </w:r>
      <w:r>
        <w:rPr>
          <w:color w:val="000000"/>
          <w:sz w:val="24"/>
        </w:rPr>
        <w:t>湿度</w:t>
      </w:r>
      <w:r>
        <w:rPr>
          <w:color w:val="000000"/>
          <w:sz w:val="24"/>
        </w:rPr>
        <w:t>&lt;80%RH</w:t>
      </w:r>
      <w:r>
        <w:rPr>
          <w:color w:val="000000"/>
          <w:sz w:val="24"/>
        </w:rPr>
        <w:t>。</w:t>
      </w:r>
    </w:p>
    <w:p w:rsidR="00815AD4" w:rsidRDefault="00EA507A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1.3</w:t>
      </w:r>
      <w:r>
        <w:rPr>
          <w:color w:val="000000"/>
          <w:sz w:val="24"/>
        </w:rPr>
        <w:t>、检测设备：洛氏硬度计</w:t>
      </w:r>
      <w:r>
        <w:rPr>
          <w:color w:val="000000"/>
          <w:sz w:val="24"/>
        </w:rPr>
        <w:t xml:space="preserve">AT-130RDB, </w:t>
      </w:r>
      <w:r>
        <w:rPr>
          <w:color w:val="000000"/>
          <w:sz w:val="24"/>
        </w:rPr>
        <w:t>（</w:t>
      </w:r>
      <w:r>
        <w:rPr>
          <w:color w:val="000000"/>
          <w:sz w:val="24"/>
        </w:rPr>
        <w:t>20</w:t>
      </w:r>
      <w:r>
        <w:rPr>
          <w:color w:val="000000"/>
          <w:sz w:val="24"/>
        </w:rPr>
        <w:t>～</w:t>
      </w:r>
      <w:r>
        <w:rPr>
          <w:color w:val="000000"/>
          <w:sz w:val="24"/>
        </w:rPr>
        <w:t>88)HRA</w:t>
      </w:r>
      <w:r w:rsidR="007A3A87">
        <w:rPr>
          <w:rFonts w:hint="eastAsia"/>
          <w:color w:val="000000"/>
          <w:sz w:val="24"/>
        </w:rPr>
        <w:t>，</w:t>
      </w:r>
      <w:r>
        <w:rPr>
          <w:color w:val="000000"/>
          <w:sz w:val="24"/>
        </w:rPr>
        <w:t>±1.5HRA</w:t>
      </w:r>
      <w:r>
        <w:rPr>
          <w:color w:val="000000"/>
          <w:sz w:val="24"/>
        </w:rPr>
        <w:t>；</w:t>
      </w:r>
      <w:r w:rsidRPr="007A3A87">
        <w:rPr>
          <w:i/>
          <w:color w:val="000000"/>
          <w:sz w:val="24"/>
        </w:rPr>
        <w:t>U</w:t>
      </w:r>
      <w:r>
        <w:rPr>
          <w:color w:val="000000"/>
          <w:sz w:val="24"/>
        </w:rPr>
        <w:t>=0.</w:t>
      </w:r>
      <w:r w:rsidR="007A3A87">
        <w:rPr>
          <w:color w:val="000000"/>
          <w:sz w:val="24"/>
        </w:rPr>
        <w:t>6</w:t>
      </w:r>
      <w:r>
        <w:rPr>
          <w:color w:val="000000"/>
          <w:sz w:val="24"/>
        </w:rPr>
        <w:t>HR(</w:t>
      </w:r>
      <w:r w:rsidRPr="007A3A87">
        <w:rPr>
          <w:i/>
          <w:color w:val="000000"/>
          <w:sz w:val="24"/>
        </w:rPr>
        <w:t>k</w:t>
      </w:r>
      <w:r>
        <w:rPr>
          <w:color w:val="000000"/>
          <w:sz w:val="24"/>
        </w:rPr>
        <w:t>=2)</w:t>
      </w:r>
    </w:p>
    <w:p w:rsidR="00815AD4" w:rsidRDefault="00EA507A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1.4</w:t>
      </w:r>
      <w:r>
        <w:rPr>
          <w:color w:val="000000"/>
          <w:sz w:val="24"/>
        </w:rPr>
        <w:t>、被测对象：表面硬度，</w:t>
      </w:r>
      <w:r>
        <w:rPr>
          <w:color w:val="000000"/>
          <w:sz w:val="24"/>
        </w:rPr>
        <w:t>(56~6</w:t>
      </w:r>
      <w:r w:rsidR="007A3A87">
        <w:rPr>
          <w:color w:val="000000"/>
          <w:sz w:val="24"/>
        </w:rPr>
        <w:t>2</w:t>
      </w:r>
      <w:r>
        <w:rPr>
          <w:color w:val="000000"/>
          <w:sz w:val="24"/>
        </w:rPr>
        <w:t>)HRA</w:t>
      </w:r>
      <w:r>
        <w:rPr>
          <w:color w:val="000000"/>
          <w:sz w:val="24"/>
        </w:rPr>
        <w:t>。</w:t>
      </w:r>
    </w:p>
    <w:p w:rsidR="00815AD4" w:rsidRDefault="00EA507A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1.5</w:t>
      </w:r>
      <w:r>
        <w:rPr>
          <w:color w:val="000000"/>
          <w:sz w:val="24"/>
        </w:rPr>
        <w:t>、测量过程：</w:t>
      </w:r>
      <w:r>
        <w:rPr>
          <w:sz w:val="24"/>
        </w:rPr>
        <w:t>硬度采用直接测量法，将被测物体置于平台上，将硬度计压头压入工件，硬度计显示被测量数据。</w:t>
      </w:r>
    </w:p>
    <w:p w:rsidR="00815AD4" w:rsidRDefault="00EA507A">
      <w:pPr>
        <w:snapToGrid w:val="0"/>
        <w:spacing w:line="360" w:lineRule="auto"/>
        <w:rPr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  <w:t>2</w:t>
      </w:r>
      <w:r>
        <w:rPr>
          <w:b/>
          <w:bCs/>
          <w:color w:val="000000"/>
          <w:sz w:val="24"/>
        </w:rPr>
        <w:t>、数学模型</w:t>
      </w:r>
    </w:p>
    <w:p w:rsidR="00815AD4" w:rsidRDefault="00EA507A">
      <w:pPr>
        <w:spacing w:line="360" w:lineRule="auto"/>
        <w:ind w:left="360" w:firstLineChars="700" w:firstLine="1680"/>
        <w:rPr>
          <w:color w:val="000000"/>
          <w:sz w:val="24"/>
        </w:rPr>
      </w:pPr>
      <w:r>
        <w:rPr>
          <w:i/>
          <w:color w:val="000000"/>
          <w:sz w:val="24"/>
        </w:rPr>
        <w:t>y</w:t>
      </w:r>
      <w:r>
        <w:rPr>
          <w:iCs/>
          <w:color w:val="000000"/>
          <w:sz w:val="24"/>
        </w:rPr>
        <w:t>＝</w:t>
      </w:r>
      <w:r>
        <w:rPr>
          <w:i/>
          <w:color w:val="000000"/>
          <w:sz w:val="24"/>
        </w:rPr>
        <w:t>x</w:t>
      </w:r>
      <w:r>
        <w:rPr>
          <w:iCs/>
          <w:color w:val="000000"/>
          <w:sz w:val="24"/>
        </w:rPr>
        <w:t>+</w:t>
      </w:r>
      <w:r>
        <w:rPr>
          <w:rFonts w:ascii="Cambria Math" w:hAnsi="Cambria Math" w:cs="Cambria Math"/>
          <w:i/>
          <w:color w:val="000000"/>
          <w:sz w:val="24"/>
        </w:rPr>
        <w:t>△</w:t>
      </w:r>
      <w:r>
        <w:rPr>
          <w:i/>
          <w:color w:val="000000"/>
          <w:sz w:val="24"/>
        </w:rPr>
        <w:t xml:space="preserve">y                     </w:t>
      </w:r>
      <w:r>
        <w:rPr>
          <w:color w:val="000000"/>
          <w:sz w:val="24"/>
        </w:rPr>
        <w:t>（</w:t>
      </w:r>
      <w:r>
        <w:rPr>
          <w:color w:val="000000"/>
          <w:sz w:val="24"/>
        </w:rPr>
        <w:t>1</w:t>
      </w:r>
      <w:r>
        <w:rPr>
          <w:color w:val="000000"/>
          <w:sz w:val="24"/>
        </w:rPr>
        <w:t>）</w:t>
      </w:r>
    </w:p>
    <w:p w:rsidR="00815AD4" w:rsidRDefault="00EA507A">
      <w:pPr>
        <w:spacing w:line="360" w:lineRule="auto"/>
        <w:ind w:firstLineChars="500" w:firstLine="1200"/>
        <w:rPr>
          <w:color w:val="000000"/>
          <w:sz w:val="24"/>
        </w:rPr>
      </w:pPr>
      <w:r>
        <w:rPr>
          <w:iCs/>
          <w:color w:val="000000"/>
          <w:sz w:val="24"/>
        </w:rPr>
        <w:t>式中：</w:t>
      </w:r>
      <w:r>
        <w:rPr>
          <w:i/>
          <w:iCs/>
          <w:color w:val="000000"/>
          <w:sz w:val="24"/>
        </w:rPr>
        <w:t>y</w:t>
      </w:r>
      <w:r>
        <w:rPr>
          <w:color w:val="000000"/>
          <w:sz w:val="24"/>
        </w:rPr>
        <w:t xml:space="preserve"> ——</w:t>
      </w:r>
      <w:r>
        <w:rPr>
          <w:color w:val="000000"/>
          <w:sz w:val="24"/>
        </w:rPr>
        <w:t>测量结果</w:t>
      </w:r>
    </w:p>
    <w:p w:rsidR="00815AD4" w:rsidRDefault="00EA507A">
      <w:pPr>
        <w:spacing w:line="360" w:lineRule="auto"/>
        <w:ind w:leftChars="150" w:left="315" w:firstLineChars="650" w:firstLine="1560"/>
        <w:rPr>
          <w:color w:val="000000"/>
          <w:sz w:val="24"/>
        </w:rPr>
      </w:pPr>
      <w:r>
        <w:rPr>
          <w:i/>
          <w:iCs/>
          <w:color w:val="000000"/>
          <w:sz w:val="24"/>
        </w:rPr>
        <w:t xml:space="preserve">x </w:t>
      </w:r>
      <w:r>
        <w:rPr>
          <w:color w:val="000000"/>
          <w:sz w:val="24"/>
        </w:rPr>
        <w:t>——</w:t>
      </w:r>
      <w:r>
        <w:rPr>
          <w:color w:val="000000"/>
          <w:sz w:val="24"/>
        </w:rPr>
        <w:t>洛氏硬度计的读数值</w:t>
      </w:r>
    </w:p>
    <w:p w:rsidR="00815AD4" w:rsidRDefault="00EA507A">
      <w:pPr>
        <w:spacing w:line="360" w:lineRule="auto"/>
        <w:ind w:left="360" w:firstLineChars="600" w:firstLine="1440"/>
        <w:rPr>
          <w:color w:val="000000"/>
          <w:sz w:val="24"/>
        </w:rPr>
      </w:pPr>
      <w:r>
        <w:rPr>
          <w:rFonts w:ascii="Cambria Math" w:hAnsi="Cambria Math" w:cs="Cambria Math"/>
          <w:i/>
          <w:iCs/>
          <w:color w:val="000000"/>
          <w:sz w:val="24"/>
        </w:rPr>
        <w:t>△</w:t>
      </w:r>
      <w:r>
        <w:rPr>
          <w:i/>
          <w:iCs/>
          <w:color w:val="000000"/>
          <w:sz w:val="24"/>
        </w:rPr>
        <w:t>y</w:t>
      </w:r>
      <w:r>
        <w:rPr>
          <w:color w:val="000000"/>
          <w:sz w:val="24"/>
        </w:rPr>
        <w:t xml:space="preserve"> ——</w:t>
      </w:r>
      <w:r>
        <w:rPr>
          <w:color w:val="000000"/>
          <w:sz w:val="24"/>
        </w:rPr>
        <w:t>各种因素对测量结果的影响</w:t>
      </w:r>
    </w:p>
    <w:p w:rsidR="00815AD4" w:rsidRDefault="00EA507A">
      <w:pPr>
        <w:snapToGrid w:val="0"/>
        <w:spacing w:line="360" w:lineRule="auto"/>
        <w:rPr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  <w:t>3</w:t>
      </w:r>
      <w:r>
        <w:rPr>
          <w:b/>
          <w:bCs/>
          <w:color w:val="000000"/>
          <w:sz w:val="24"/>
        </w:rPr>
        <w:t>、各输入量的标准不确定度评定</w:t>
      </w:r>
    </w:p>
    <w:p w:rsidR="00815AD4" w:rsidRDefault="00EA507A">
      <w:pPr>
        <w:spacing w:line="360" w:lineRule="auto"/>
        <w:ind w:rightChars="-214" w:right="-449"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x</w:t>
      </w:r>
      <w:r>
        <w:rPr>
          <w:color w:val="000000"/>
          <w:sz w:val="24"/>
        </w:rPr>
        <w:t>的各影响量的大小很难用物理／数学方法分析，相互间关系也很复杂，只能用</w:t>
      </w:r>
      <w:r>
        <w:rPr>
          <w:color w:val="000000"/>
          <w:sz w:val="24"/>
        </w:rPr>
        <w:t>A</w:t>
      </w:r>
      <w:r>
        <w:rPr>
          <w:color w:val="000000"/>
          <w:sz w:val="24"/>
        </w:rPr>
        <w:t>类评定，让</w:t>
      </w:r>
      <w:proofErr w:type="gramStart"/>
      <w:r>
        <w:rPr>
          <w:color w:val="000000"/>
          <w:sz w:val="24"/>
        </w:rPr>
        <w:t>各影响值同时</w:t>
      </w:r>
      <w:proofErr w:type="gramEnd"/>
      <w:r>
        <w:rPr>
          <w:color w:val="000000"/>
          <w:sz w:val="24"/>
        </w:rPr>
        <w:t>起作用，通过试验来评定它的综合影响；</w:t>
      </w:r>
      <w:proofErr w:type="spellStart"/>
      <w:r>
        <w:rPr>
          <w:i/>
          <w:iCs/>
          <w:color w:val="000000"/>
          <w:sz w:val="24"/>
        </w:rPr>
        <w:t>Δy</w:t>
      </w:r>
      <w:proofErr w:type="spellEnd"/>
      <w:r>
        <w:rPr>
          <w:color w:val="000000"/>
          <w:sz w:val="24"/>
        </w:rPr>
        <w:t>的不确定度分量用</w:t>
      </w:r>
      <w:r>
        <w:rPr>
          <w:color w:val="000000"/>
          <w:sz w:val="24"/>
        </w:rPr>
        <w:t>B</w:t>
      </w:r>
      <w:r>
        <w:rPr>
          <w:color w:val="000000"/>
          <w:sz w:val="24"/>
        </w:rPr>
        <w:t>类评定。</w:t>
      </w:r>
    </w:p>
    <w:p w:rsidR="00815AD4" w:rsidRDefault="00EA507A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3.1</w:t>
      </w:r>
      <w:r>
        <w:rPr>
          <w:color w:val="000000"/>
          <w:sz w:val="24"/>
        </w:rPr>
        <w:t>、测量重复性引起的标准不确定度</w:t>
      </w:r>
      <m:oMath>
        <m:r>
          <w:rPr>
            <w:rFonts w:ascii="Cambria Math" w:hAnsi="Cambria Math"/>
            <w:color w:val="000000"/>
            <w:sz w:val="24"/>
          </w:rPr>
          <m:t>u</m:t>
        </m:r>
        <m:r>
          <w:rPr>
            <w:rFonts w:ascii="Cambria Math" w:hAnsi="Cambria Math"/>
            <w:color w:val="000000"/>
            <w:sz w:val="24"/>
          </w:rPr>
          <m:t>(</m:t>
        </m:r>
        <m:r>
          <w:rPr>
            <w:rFonts w:ascii="Cambria Math" w:hAnsi="Cambria Math"/>
            <w:color w:val="000000"/>
            <w:sz w:val="24"/>
          </w:rPr>
          <m:t>x</m:t>
        </m:r>
        <m:r>
          <w:rPr>
            <w:rFonts w:ascii="Cambria Math" w:hAnsi="Cambria Math"/>
            <w:color w:val="000000"/>
            <w:sz w:val="24"/>
          </w:rPr>
          <m:t>)</m:t>
        </m:r>
      </m:oMath>
      <w:r>
        <w:rPr>
          <w:color w:val="000000"/>
          <w:sz w:val="24"/>
        </w:rPr>
        <w:t>的评定</w:t>
      </w:r>
    </w:p>
    <w:p w:rsidR="00815AD4" w:rsidRDefault="00EA507A">
      <w:pPr>
        <w:spacing w:line="360" w:lineRule="auto"/>
        <w:ind w:rightChars="-289" w:right="-607"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做</w:t>
      </w:r>
      <w:r>
        <w:rPr>
          <w:color w:val="000000"/>
          <w:sz w:val="24"/>
        </w:rPr>
        <w:t>A</w:t>
      </w:r>
      <w:r>
        <w:rPr>
          <w:color w:val="000000"/>
          <w:sz w:val="24"/>
        </w:rPr>
        <w:t>类评定试验：在本实验室内，在洛氏硬度计的正常工作状态下，同一组人，用同一台设备，在相临近的时间内，对</w:t>
      </w:r>
      <w:r>
        <w:rPr>
          <w:sz w:val="24"/>
        </w:rPr>
        <w:t>硬度</w:t>
      </w:r>
      <w:proofErr w:type="gramStart"/>
      <w:r>
        <w:rPr>
          <w:sz w:val="24"/>
        </w:rPr>
        <w:t>块</w:t>
      </w:r>
      <w:r>
        <w:rPr>
          <w:color w:val="000000"/>
          <w:sz w:val="24"/>
        </w:rPr>
        <w:t>连续</w:t>
      </w:r>
      <w:proofErr w:type="gramEnd"/>
      <w:r>
        <w:rPr>
          <w:color w:val="000000"/>
          <w:sz w:val="24"/>
        </w:rPr>
        <w:t>测量</w:t>
      </w:r>
      <w:r>
        <w:rPr>
          <w:color w:val="000000"/>
          <w:sz w:val="24"/>
        </w:rPr>
        <w:t>10</w:t>
      </w:r>
      <w:r>
        <w:rPr>
          <w:color w:val="000000"/>
          <w:sz w:val="24"/>
        </w:rPr>
        <w:t>次，得到</w:t>
      </w:r>
      <w:r>
        <w:rPr>
          <w:color w:val="000000"/>
          <w:sz w:val="24"/>
        </w:rPr>
        <w:t>10</w:t>
      </w:r>
      <w:r>
        <w:rPr>
          <w:color w:val="000000"/>
          <w:sz w:val="24"/>
        </w:rPr>
        <w:t>个试验数据汇于表</w:t>
      </w:r>
      <w:r>
        <w:rPr>
          <w:color w:val="000000"/>
          <w:sz w:val="24"/>
        </w:rPr>
        <w:t>1——</w:t>
      </w:r>
      <w:r>
        <w:rPr>
          <w:color w:val="000000"/>
          <w:sz w:val="24"/>
        </w:rPr>
        <w:t>试验数据汇总表：</w:t>
      </w:r>
    </w:p>
    <w:p w:rsidR="00815AD4" w:rsidRDefault="00EA507A">
      <w:pPr>
        <w:spacing w:line="360" w:lineRule="auto"/>
        <w:ind w:left="180" w:rightChars="-214" w:right="-449"/>
        <w:jc w:val="center"/>
        <w:rPr>
          <w:color w:val="000000"/>
          <w:sz w:val="24"/>
        </w:rPr>
      </w:pPr>
      <w:r>
        <w:rPr>
          <w:color w:val="000000"/>
          <w:sz w:val="24"/>
        </w:rPr>
        <w:t>表</w:t>
      </w:r>
      <w:r>
        <w:rPr>
          <w:color w:val="000000"/>
          <w:sz w:val="24"/>
        </w:rPr>
        <w:t>1——</w:t>
      </w:r>
      <w:r>
        <w:rPr>
          <w:color w:val="000000"/>
          <w:sz w:val="24"/>
        </w:rPr>
        <w:t>试验数据汇总表</w:t>
      </w:r>
    </w:p>
    <w:tbl>
      <w:tblPr>
        <w:tblW w:w="87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250"/>
        <w:gridCol w:w="1273"/>
        <w:gridCol w:w="1256"/>
        <w:gridCol w:w="1256"/>
        <w:gridCol w:w="1882"/>
      </w:tblGrid>
      <w:tr w:rsidR="00815AD4">
        <w:trPr>
          <w:trHeight w:val="352"/>
        </w:trPr>
        <w:tc>
          <w:tcPr>
            <w:tcW w:w="1843" w:type="dxa"/>
            <w:vAlign w:val="center"/>
          </w:tcPr>
          <w:p w:rsidR="00815AD4" w:rsidRDefault="00EA507A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n</w:t>
            </w:r>
          </w:p>
        </w:tc>
        <w:tc>
          <w:tcPr>
            <w:tcW w:w="1250" w:type="dxa"/>
            <w:vAlign w:val="center"/>
          </w:tcPr>
          <w:p w:rsidR="00815AD4" w:rsidRDefault="00EA507A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273" w:type="dxa"/>
            <w:vAlign w:val="center"/>
          </w:tcPr>
          <w:p w:rsidR="00815AD4" w:rsidRDefault="00EA507A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1256" w:type="dxa"/>
            <w:vAlign w:val="center"/>
          </w:tcPr>
          <w:p w:rsidR="00815AD4" w:rsidRDefault="00EA507A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256" w:type="dxa"/>
            <w:vAlign w:val="center"/>
          </w:tcPr>
          <w:p w:rsidR="00815AD4" w:rsidRDefault="00EA507A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1882" w:type="dxa"/>
            <w:vAlign w:val="center"/>
          </w:tcPr>
          <w:p w:rsidR="00815AD4" w:rsidRDefault="00EA507A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</w:tr>
      <w:tr w:rsidR="00815AD4">
        <w:trPr>
          <w:trHeight w:val="445"/>
        </w:trPr>
        <w:tc>
          <w:tcPr>
            <w:tcW w:w="1843" w:type="dxa"/>
            <w:vAlign w:val="center"/>
          </w:tcPr>
          <w:p w:rsidR="00815AD4" w:rsidRDefault="00EA507A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iCs/>
                <w:color w:val="000000"/>
                <w:sz w:val="24"/>
              </w:rPr>
              <w:t>Xi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（</w:t>
            </w:r>
            <w:r>
              <w:rPr>
                <w:color w:val="000000"/>
                <w:sz w:val="24"/>
              </w:rPr>
              <w:t>HRA</w:t>
            </w:r>
            <w:r>
              <w:rPr>
                <w:color w:val="000000"/>
                <w:sz w:val="24"/>
              </w:rPr>
              <w:t>）</w:t>
            </w:r>
          </w:p>
        </w:tc>
        <w:tc>
          <w:tcPr>
            <w:tcW w:w="1250" w:type="dxa"/>
            <w:vAlign w:val="center"/>
          </w:tcPr>
          <w:p w:rsidR="00815AD4" w:rsidRDefault="00EA507A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83.7</w:t>
            </w:r>
          </w:p>
        </w:tc>
        <w:tc>
          <w:tcPr>
            <w:tcW w:w="1273" w:type="dxa"/>
            <w:vAlign w:val="center"/>
          </w:tcPr>
          <w:p w:rsidR="00815AD4" w:rsidRDefault="00EA507A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83.6</w:t>
            </w:r>
          </w:p>
        </w:tc>
        <w:tc>
          <w:tcPr>
            <w:tcW w:w="1256" w:type="dxa"/>
            <w:vAlign w:val="center"/>
          </w:tcPr>
          <w:p w:rsidR="00815AD4" w:rsidRDefault="00EA507A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83.7</w:t>
            </w:r>
          </w:p>
        </w:tc>
        <w:tc>
          <w:tcPr>
            <w:tcW w:w="1256" w:type="dxa"/>
            <w:vAlign w:val="center"/>
          </w:tcPr>
          <w:p w:rsidR="00815AD4" w:rsidRDefault="00EA507A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83.5</w:t>
            </w:r>
          </w:p>
        </w:tc>
        <w:tc>
          <w:tcPr>
            <w:tcW w:w="1882" w:type="dxa"/>
            <w:vAlign w:val="center"/>
          </w:tcPr>
          <w:p w:rsidR="00815AD4" w:rsidRDefault="00EA507A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83.7</w:t>
            </w:r>
          </w:p>
        </w:tc>
      </w:tr>
      <w:tr w:rsidR="00815AD4">
        <w:trPr>
          <w:trHeight w:val="339"/>
        </w:trPr>
        <w:tc>
          <w:tcPr>
            <w:tcW w:w="1843" w:type="dxa"/>
            <w:vAlign w:val="center"/>
          </w:tcPr>
          <w:p w:rsidR="00815AD4" w:rsidRDefault="00EA507A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n</w:t>
            </w:r>
          </w:p>
        </w:tc>
        <w:tc>
          <w:tcPr>
            <w:tcW w:w="1250" w:type="dxa"/>
            <w:vAlign w:val="center"/>
          </w:tcPr>
          <w:p w:rsidR="00815AD4" w:rsidRDefault="00EA507A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1273" w:type="dxa"/>
            <w:vAlign w:val="center"/>
          </w:tcPr>
          <w:p w:rsidR="00815AD4" w:rsidRDefault="00EA507A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</w:t>
            </w:r>
          </w:p>
        </w:tc>
        <w:tc>
          <w:tcPr>
            <w:tcW w:w="1256" w:type="dxa"/>
            <w:vAlign w:val="center"/>
          </w:tcPr>
          <w:p w:rsidR="00815AD4" w:rsidRDefault="00EA507A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</w:t>
            </w:r>
          </w:p>
        </w:tc>
        <w:tc>
          <w:tcPr>
            <w:tcW w:w="1256" w:type="dxa"/>
            <w:vAlign w:val="center"/>
          </w:tcPr>
          <w:p w:rsidR="00815AD4" w:rsidRDefault="00EA507A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</w:t>
            </w:r>
          </w:p>
        </w:tc>
        <w:tc>
          <w:tcPr>
            <w:tcW w:w="1882" w:type="dxa"/>
            <w:vAlign w:val="center"/>
          </w:tcPr>
          <w:p w:rsidR="00815AD4" w:rsidRDefault="00EA507A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</w:t>
            </w:r>
          </w:p>
        </w:tc>
      </w:tr>
      <w:tr w:rsidR="00815AD4">
        <w:trPr>
          <w:trHeight w:val="539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815AD4" w:rsidRDefault="00EA507A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iCs/>
                <w:color w:val="000000"/>
                <w:sz w:val="24"/>
              </w:rPr>
              <w:t>Xi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（</w:t>
            </w:r>
            <w:r>
              <w:rPr>
                <w:color w:val="000000"/>
                <w:sz w:val="24"/>
              </w:rPr>
              <w:t>HRA</w:t>
            </w:r>
            <w:r>
              <w:rPr>
                <w:color w:val="000000"/>
                <w:sz w:val="24"/>
              </w:rPr>
              <w:t>）</w:t>
            </w:r>
          </w:p>
        </w:tc>
        <w:tc>
          <w:tcPr>
            <w:tcW w:w="1250" w:type="dxa"/>
            <w:tcBorders>
              <w:bottom w:val="single" w:sz="4" w:space="0" w:color="auto"/>
            </w:tcBorders>
            <w:vAlign w:val="center"/>
          </w:tcPr>
          <w:p w:rsidR="00815AD4" w:rsidRDefault="00EA507A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83.5</w:t>
            </w:r>
          </w:p>
        </w:tc>
        <w:tc>
          <w:tcPr>
            <w:tcW w:w="1273" w:type="dxa"/>
            <w:tcBorders>
              <w:bottom w:val="single" w:sz="4" w:space="0" w:color="auto"/>
            </w:tcBorders>
            <w:vAlign w:val="center"/>
          </w:tcPr>
          <w:p w:rsidR="00815AD4" w:rsidRDefault="00EA507A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83.6</w:t>
            </w:r>
          </w:p>
        </w:tc>
        <w:tc>
          <w:tcPr>
            <w:tcW w:w="1256" w:type="dxa"/>
            <w:tcBorders>
              <w:bottom w:val="single" w:sz="4" w:space="0" w:color="auto"/>
            </w:tcBorders>
            <w:vAlign w:val="center"/>
          </w:tcPr>
          <w:p w:rsidR="00815AD4" w:rsidRDefault="00EA507A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83.6</w:t>
            </w:r>
          </w:p>
        </w:tc>
        <w:tc>
          <w:tcPr>
            <w:tcW w:w="1256" w:type="dxa"/>
            <w:tcBorders>
              <w:bottom w:val="single" w:sz="4" w:space="0" w:color="auto"/>
            </w:tcBorders>
            <w:vAlign w:val="center"/>
          </w:tcPr>
          <w:p w:rsidR="00815AD4" w:rsidRDefault="00EA507A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83.7</w:t>
            </w:r>
          </w:p>
        </w:tc>
        <w:tc>
          <w:tcPr>
            <w:tcW w:w="1882" w:type="dxa"/>
            <w:tcBorders>
              <w:bottom w:val="single" w:sz="4" w:space="0" w:color="auto"/>
            </w:tcBorders>
            <w:vAlign w:val="center"/>
          </w:tcPr>
          <w:p w:rsidR="00815AD4" w:rsidRDefault="00EA507A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83.5</w:t>
            </w:r>
          </w:p>
        </w:tc>
      </w:tr>
    </w:tbl>
    <w:p w:rsidR="00815AD4" w:rsidRDefault="00EA507A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各测量值的平均值</w:t>
      </w:r>
      <w:r>
        <w:rPr>
          <w:color w:val="000000"/>
          <w:sz w:val="24"/>
        </w:rPr>
        <w:t xml:space="preserve"> </w:t>
      </w:r>
      <w:r>
        <w:rPr>
          <w:noProof/>
          <w:color w:val="000000"/>
          <w:position w:val="-24"/>
          <w:sz w:val="24"/>
        </w:rPr>
        <w:drawing>
          <wp:inline distT="0" distB="0" distL="0" distR="0">
            <wp:extent cx="647065" cy="620395"/>
            <wp:effectExtent l="0" t="0" r="0" b="0"/>
            <wp:docPr id="22" name="图片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8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065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4"/>
        </w:rPr>
        <w:t xml:space="preserve">≈83.61 </w:t>
      </w:r>
      <w:r>
        <w:rPr>
          <w:sz w:val="24"/>
        </w:rPr>
        <w:t>HRA</w:t>
      </w:r>
      <w:r>
        <w:rPr>
          <w:color w:val="000000"/>
          <w:sz w:val="24"/>
        </w:rPr>
        <w:tab/>
      </w:r>
    </w:p>
    <w:p w:rsidR="00815AD4" w:rsidRDefault="00EA507A">
      <w:pPr>
        <w:pStyle w:val="MTDisplayEquation"/>
        <w:spacing w:line="360" w:lineRule="auto"/>
        <w:ind w:left="0" w:firstLineChars="200" w:firstLine="480"/>
        <w:rPr>
          <w:color w:val="000000"/>
        </w:rPr>
      </w:pPr>
      <w:r>
        <w:rPr>
          <w:color w:val="000000"/>
        </w:rPr>
        <w:lastRenderedPageBreak/>
        <w:t>标准不确定度分量</w:t>
      </w:r>
      <w:r>
        <w:rPr>
          <w:color w:val="000000"/>
        </w:rPr>
        <w:t xml:space="preserve"> </w:t>
      </w:r>
      <m:oMath>
        <m:r>
          <w:rPr>
            <w:rFonts w:ascii="Cambria Math" w:hAnsi="Cambria Math"/>
            <w:color w:val="000000"/>
          </w:rPr>
          <m:t>u</m:t>
        </m:r>
        <m:r>
          <w:rPr>
            <w:rFonts w:ascii="Cambria Math" w:hAnsi="Cambria Math"/>
            <w:color w:val="000000"/>
          </w:rPr>
          <m:t>(</m:t>
        </m:r>
        <m:r>
          <w:rPr>
            <w:rFonts w:ascii="Cambria Math" w:hAnsi="Cambria Math"/>
            <w:color w:val="000000"/>
          </w:rPr>
          <m:t>x</m:t>
        </m:r>
        <m:r>
          <w:rPr>
            <w:rFonts w:ascii="Cambria Math" w:hAnsi="Cambria Math"/>
            <w:color w:val="000000"/>
          </w:rPr>
          <m:t>)</m:t>
        </m:r>
      </m:oMath>
      <w:r>
        <w:rPr>
          <w:color w:val="000000"/>
        </w:rPr>
        <w:t>＝</w:t>
      </w:r>
      <w:r>
        <w:rPr>
          <w:noProof/>
          <w:color w:val="000000"/>
          <w:position w:val="-26"/>
        </w:rPr>
        <w:drawing>
          <wp:inline distT="0" distB="0" distL="0" distR="0">
            <wp:extent cx="1294765" cy="697230"/>
            <wp:effectExtent l="0" t="0" r="635" b="6985"/>
            <wp:docPr id="21" name="图片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8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4765" cy="69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≈0.09</w:t>
      </w:r>
      <w:r>
        <w:t>HRA</w:t>
      </w:r>
    </w:p>
    <w:p w:rsidR="00815AD4" w:rsidRDefault="00EA507A">
      <w:pPr>
        <w:spacing w:line="360" w:lineRule="auto"/>
        <w:rPr>
          <w:i/>
          <w:sz w:val="24"/>
        </w:rPr>
      </w:pPr>
      <w:r>
        <w:rPr>
          <w:sz w:val="24"/>
        </w:rPr>
        <w:t>3.2</w:t>
      </w:r>
      <w:r>
        <w:rPr>
          <w:sz w:val="24"/>
        </w:rPr>
        <w:t>、洛氏硬度计的测量不确定度的影响分量</w:t>
      </w:r>
      <m:oMath>
        <m:r>
          <w:rPr>
            <w:rFonts w:ascii="Cambria Math" w:hAnsi="Cambria Math"/>
            <w:color w:val="000000"/>
            <w:sz w:val="24"/>
          </w:rPr>
          <m:t>u</m:t>
        </m:r>
        <m:r>
          <w:rPr>
            <w:rFonts w:ascii="Cambria Math" w:hAnsi="Cambria Math"/>
            <w:color w:val="000000"/>
            <w:sz w:val="24"/>
          </w:rPr>
          <m:t>(</m:t>
        </m:r>
        <m:r>
          <w:rPr>
            <w:rFonts w:ascii="Cambria Math" w:hAnsi="Cambria Math"/>
            <w:color w:val="000000"/>
            <w:sz w:val="24"/>
          </w:rPr>
          <m:t>y</m:t>
        </m:r>
        <m:r>
          <w:rPr>
            <w:rFonts w:ascii="Cambria Math" w:hAnsi="Cambria Math"/>
            <w:color w:val="000000"/>
            <w:sz w:val="24"/>
          </w:rPr>
          <m:t>)</m:t>
        </m:r>
      </m:oMath>
    </w:p>
    <w:p w:rsidR="00815AD4" w:rsidRDefault="00EA507A">
      <w:pPr>
        <w:spacing w:line="360" w:lineRule="auto"/>
        <w:ind w:firstLineChars="150" w:firstLine="360"/>
        <w:rPr>
          <w:sz w:val="24"/>
        </w:rPr>
      </w:pPr>
      <w:r>
        <w:rPr>
          <w:sz w:val="24"/>
        </w:rPr>
        <w:t>由洛氏硬度计校准证书获知，洛氏硬度计的不确定度</w:t>
      </w:r>
      <w:r>
        <w:rPr>
          <w:bCs/>
          <w:i/>
          <w:sz w:val="24"/>
        </w:rPr>
        <w:t>U</w:t>
      </w:r>
      <w:r>
        <w:rPr>
          <w:bCs/>
          <w:sz w:val="24"/>
        </w:rPr>
        <w:t>=0.</w:t>
      </w:r>
      <w:r w:rsidR="007A3A87">
        <w:rPr>
          <w:bCs/>
          <w:sz w:val="24"/>
        </w:rPr>
        <w:t>6</w:t>
      </w:r>
      <w:r>
        <w:rPr>
          <w:bCs/>
          <w:sz w:val="24"/>
        </w:rPr>
        <w:t>HR</w:t>
      </w:r>
      <w:r w:rsidR="007A3A87">
        <w:rPr>
          <w:bCs/>
          <w:sz w:val="24"/>
        </w:rPr>
        <w:t>A</w:t>
      </w:r>
      <w:r>
        <w:rPr>
          <w:bCs/>
          <w:sz w:val="24"/>
        </w:rPr>
        <w:t xml:space="preserve"> (</w:t>
      </w:r>
      <w:r>
        <w:rPr>
          <w:bCs/>
          <w:i/>
          <w:sz w:val="24"/>
        </w:rPr>
        <w:t>k</w:t>
      </w:r>
      <w:r>
        <w:rPr>
          <w:bCs/>
          <w:sz w:val="24"/>
        </w:rPr>
        <w:t>=2)</w:t>
      </w:r>
      <w:r>
        <w:rPr>
          <w:sz w:val="24"/>
        </w:rPr>
        <w:t>，则由洛氏硬度</w:t>
      </w:r>
      <w:proofErr w:type="gramStart"/>
      <w:r>
        <w:rPr>
          <w:sz w:val="24"/>
        </w:rPr>
        <w:t>计本身</w:t>
      </w:r>
      <w:proofErr w:type="gramEnd"/>
      <w:r>
        <w:rPr>
          <w:sz w:val="24"/>
        </w:rPr>
        <w:t>引入的不确定分量为：</w:t>
      </w:r>
    </w:p>
    <w:p w:rsidR="00815AD4" w:rsidRDefault="00EA507A">
      <w:pPr>
        <w:spacing w:line="360" w:lineRule="auto"/>
        <w:ind w:firstLineChars="150" w:firstLine="360"/>
        <w:rPr>
          <w:sz w:val="24"/>
        </w:rPr>
      </w:pPr>
      <w:r>
        <w:rPr>
          <w:sz w:val="24"/>
        </w:rPr>
        <w:t xml:space="preserve">              </w:t>
      </w:r>
      <m:oMath>
        <m:r>
          <w:rPr>
            <w:rFonts w:ascii="Cambria Math" w:hAnsi="Cambria Math"/>
            <w:color w:val="000000"/>
            <w:sz w:val="24"/>
          </w:rPr>
          <m:t>u</m:t>
        </m:r>
        <m:r>
          <w:rPr>
            <w:rFonts w:ascii="Cambria Math" w:hAnsi="Cambria Math"/>
            <w:color w:val="000000"/>
            <w:sz w:val="24"/>
          </w:rPr>
          <m:t>(</m:t>
        </m:r>
        <m:r>
          <w:rPr>
            <w:rFonts w:ascii="Cambria Math" w:hAnsi="Cambria Math"/>
            <w:color w:val="000000"/>
            <w:sz w:val="24"/>
          </w:rPr>
          <m:t>y</m:t>
        </m:r>
        <m:r>
          <w:rPr>
            <w:rFonts w:ascii="Cambria Math" w:hAnsi="Cambria Math"/>
            <w:color w:val="000000"/>
            <w:sz w:val="24"/>
          </w:rPr>
          <m:t>)</m:t>
        </m:r>
        <m:r>
          <w:rPr>
            <w:rFonts w:ascii="Cambria Math" w:hAnsi="Cambria Math"/>
            <w:sz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0.</m:t>
            </m:r>
            <m:r>
              <w:rPr>
                <w:rFonts w:ascii="Cambria Math" w:hAnsi="Cambria Math"/>
                <w:sz w:val="24"/>
              </w:rPr>
              <m:t>6</m:t>
            </m:r>
          </m:num>
          <m:den>
            <m:r>
              <w:rPr>
                <w:rFonts w:ascii="Cambria Math" w:hAnsi="Cambria Math"/>
                <w:sz w:val="24"/>
              </w:rPr>
              <m:t>2</m:t>
            </m:r>
          </m:den>
        </m:f>
        <m:r>
          <w:rPr>
            <w:rFonts w:ascii="Cambria Math" w:hAnsi="Cambria Math"/>
            <w:sz w:val="24"/>
          </w:rPr>
          <m:t>=0.</m:t>
        </m:r>
        <m:r>
          <w:rPr>
            <w:rFonts w:ascii="Cambria Math" w:hAnsi="Cambria Math"/>
            <w:sz w:val="24"/>
          </w:rPr>
          <m:t>3</m:t>
        </m:r>
        <m:r>
          <w:rPr>
            <w:rFonts w:ascii="Cambria Math" w:hAnsi="Cambria Math"/>
            <w:sz w:val="24"/>
          </w:rPr>
          <m:t>HRA</m:t>
        </m:r>
      </m:oMath>
    </w:p>
    <w:p w:rsidR="00815AD4" w:rsidRDefault="00EA507A">
      <w:pPr>
        <w:spacing w:line="360" w:lineRule="auto"/>
        <w:rPr>
          <w:color w:val="000000"/>
          <w:sz w:val="24"/>
        </w:rPr>
      </w:pPr>
      <w:r>
        <w:rPr>
          <w:b/>
          <w:bCs/>
          <w:color w:val="000000"/>
          <w:sz w:val="24"/>
        </w:rPr>
        <w:t>4</w:t>
      </w:r>
      <w:r>
        <w:rPr>
          <w:b/>
          <w:bCs/>
          <w:color w:val="000000"/>
          <w:sz w:val="24"/>
        </w:rPr>
        <w:t>、合成标准不确定度的评定</w:t>
      </w:r>
    </w:p>
    <w:p w:rsidR="00815AD4" w:rsidRDefault="00EA507A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4.1</w:t>
      </w:r>
      <w:r>
        <w:rPr>
          <w:color w:val="000000"/>
          <w:sz w:val="24"/>
        </w:rPr>
        <w:t>、标准不确定度汇总表</w:t>
      </w:r>
    </w:p>
    <w:p w:rsidR="00815AD4" w:rsidRDefault="00EA507A">
      <w:pPr>
        <w:spacing w:line="360" w:lineRule="auto"/>
        <w:ind w:firstLineChars="100" w:firstLine="240"/>
        <w:rPr>
          <w:color w:val="000000"/>
          <w:sz w:val="24"/>
        </w:rPr>
      </w:pPr>
      <w:r>
        <w:rPr>
          <w:color w:val="000000"/>
          <w:sz w:val="24"/>
        </w:rPr>
        <w:t>输入量的标准不确定度汇总于表</w:t>
      </w:r>
      <w:r>
        <w:rPr>
          <w:color w:val="000000"/>
          <w:sz w:val="24"/>
        </w:rPr>
        <w:t>2</w:t>
      </w:r>
      <w:r>
        <w:rPr>
          <w:color w:val="000000"/>
          <w:sz w:val="24"/>
        </w:rPr>
        <w:t>。</w:t>
      </w:r>
    </w:p>
    <w:p w:rsidR="00815AD4" w:rsidRDefault="00EA507A">
      <w:pPr>
        <w:spacing w:line="360" w:lineRule="auto"/>
        <w:ind w:firstLineChars="1300" w:firstLine="3120"/>
        <w:rPr>
          <w:color w:val="000000"/>
          <w:sz w:val="24"/>
        </w:rPr>
      </w:pPr>
      <w:r>
        <w:rPr>
          <w:color w:val="000000"/>
          <w:sz w:val="24"/>
        </w:rPr>
        <w:t>表</w:t>
      </w:r>
      <w:r>
        <w:rPr>
          <w:color w:val="000000"/>
          <w:sz w:val="24"/>
        </w:rPr>
        <w:t xml:space="preserve">2   </w:t>
      </w:r>
      <w:r>
        <w:rPr>
          <w:color w:val="000000"/>
          <w:sz w:val="24"/>
        </w:rPr>
        <w:t>标准不确定度汇总表</w:t>
      </w:r>
    </w:p>
    <w:tbl>
      <w:tblPr>
        <w:tblW w:w="8619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0"/>
        <w:gridCol w:w="4253"/>
        <w:gridCol w:w="2216"/>
      </w:tblGrid>
      <w:tr w:rsidR="00815AD4">
        <w:tc>
          <w:tcPr>
            <w:tcW w:w="2150" w:type="dxa"/>
            <w:vAlign w:val="center"/>
          </w:tcPr>
          <w:p w:rsidR="00815AD4" w:rsidRDefault="00EA507A">
            <w:pPr>
              <w:spacing w:line="360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相对标准不确定度分量</w:t>
            </w:r>
            <m:oMath>
              <m:r>
                <w:rPr>
                  <w:rFonts w:ascii="Cambria Math" w:hAnsi="Cambria Math"/>
                  <w:color w:val="000000"/>
                  <w:w w:val="90"/>
                  <w:sz w:val="24"/>
                </w:rPr>
                <m:t>u</m:t>
              </m:r>
              <m:r>
                <w:rPr>
                  <w:rFonts w:ascii="Cambria Math" w:hAnsi="Cambria Math"/>
                  <w:color w:val="000000"/>
                  <w:w w:val="90"/>
                  <w:sz w:val="24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w w:val="90"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w w:val="90"/>
                      <w:sz w:val="24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w w:val="90"/>
                      <w:sz w:val="24"/>
                    </w:rPr>
                    <m:t>i</m:t>
                  </m:r>
                </m:sub>
              </m:sSub>
              <m:r>
                <w:rPr>
                  <w:rFonts w:ascii="Cambria Math" w:hAnsi="Cambria Math"/>
                  <w:color w:val="000000"/>
                  <w:w w:val="90"/>
                  <w:sz w:val="24"/>
                </w:rPr>
                <m:t>)</m:t>
              </m:r>
            </m:oMath>
          </w:p>
        </w:tc>
        <w:tc>
          <w:tcPr>
            <w:tcW w:w="4253" w:type="dxa"/>
            <w:vAlign w:val="center"/>
          </w:tcPr>
          <w:p w:rsidR="00815AD4" w:rsidRDefault="00EA507A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不确定度来源</w:t>
            </w:r>
          </w:p>
        </w:tc>
        <w:tc>
          <w:tcPr>
            <w:tcW w:w="2216" w:type="dxa"/>
            <w:vAlign w:val="center"/>
          </w:tcPr>
          <w:p w:rsidR="00815AD4" w:rsidRDefault="00EA507A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标准不确定度值</w:t>
            </w:r>
          </w:p>
        </w:tc>
      </w:tr>
      <w:tr w:rsidR="00815AD4">
        <w:tc>
          <w:tcPr>
            <w:tcW w:w="2150" w:type="dxa"/>
            <w:vAlign w:val="center"/>
          </w:tcPr>
          <w:p w:rsidR="00815AD4" w:rsidRDefault="00EA507A">
            <w:pPr>
              <w:spacing w:line="360" w:lineRule="auto"/>
              <w:jc w:val="center"/>
              <w:rPr>
                <w:color w:val="000000"/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4"/>
                  </w:rPr>
                  <m:t>u</m:t>
                </m:r>
                <m:r>
                  <w:rPr>
                    <w:rFonts w:ascii="Cambria Math" w:hAnsi="Cambria Math"/>
                    <w:color w:val="000000"/>
                    <w:sz w:val="24"/>
                  </w:rPr>
                  <m:t>(</m:t>
                </m:r>
                <m:r>
                  <w:rPr>
                    <w:rFonts w:ascii="Cambria Math" w:hAnsi="Cambria Math"/>
                    <w:color w:val="000000"/>
                    <w:sz w:val="24"/>
                  </w:rPr>
                  <m:t>x</m:t>
                </m:r>
                <m:r>
                  <w:rPr>
                    <w:rFonts w:ascii="Cambria Math" w:hAnsi="Cambria Math"/>
                    <w:color w:val="000000"/>
                    <w:sz w:val="24"/>
                  </w:rPr>
                  <m:t>)</m:t>
                </m:r>
              </m:oMath>
            </m:oMathPara>
          </w:p>
        </w:tc>
        <w:tc>
          <w:tcPr>
            <w:tcW w:w="4253" w:type="dxa"/>
            <w:vAlign w:val="center"/>
          </w:tcPr>
          <w:p w:rsidR="00815AD4" w:rsidRDefault="00EA507A">
            <w:pPr>
              <w:spacing w:line="360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测量重复性引入的不确定度影响分量</w:t>
            </w:r>
          </w:p>
        </w:tc>
        <w:tc>
          <w:tcPr>
            <w:tcW w:w="2216" w:type="dxa"/>
            <w:vAlign w:val="center"/>
          </w:tcPr>
          <w:p w:rsidR="00815AD4" w:rsidRDefault="00EA507A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0.09</w:t>
            </w:r>
            <w:r>
              <w:rPr>
                <w:sz w:val="24"/>
              </w:rPr>
              <w:t>HRA</w:t>
            </w:r>
          </w:p>
        </w:tc>
      </w:tr>
      <w:tr w:rsidR="00815AD4">
        <w:trPr>
          <w:trHeight w:val="507"/>
        </w:trPr>
        <w:tc>
          <w:tcPr>
            <w:tcW w:w="2150" w:type="dxa"/>
            <w:vAlign w:val="center"/>
          </w:tcPr>
          <w:p w:rsidR="00815AD4" w:rsidRDefault="00EA507A">
            <w:pPr>
              <w:spacing w:line="360" w:lineRule="auto"/>
              <w:jc w:val="center"/>
              <w:rPr>
                <w:color w:val="000000"/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4"/>
                  </w:rPr>
                  <m:t>u</m:t>
                </m:r>
                <m:r>
                  <w:rPr>
                    <w:rFonts w:ascii="Cambria Math" w:hAnsi="Cambria Math"/>
                    <w:color w:val="000000"/>
                    <w:sz w:val="24"/>
                  </w:rPr>
                  <m:t>(</m:t>
                </m:r>
                <m:r>
                  <w:rPr>
                    <w:rFonts w:ascii="Cambria Math" w:hAnsi="Cambria Math"/>
                    <w:color w:val="000000"/>
                    <w:sz w:val="24"/>
                  </w:rPr>
                  <m:t>y</m:t>
                </m:r>
                <m:r>
                  <w:rPr>
                    <w:rFonts w:ascii="Cambria Math" w:hAnsi="Cambria Math"/>
                    <w:color w:val="000000"/>
                    <w:sz w:val="24"/>
                  </w:rPr>
                  <m:t>)</m:t>
                </m:r>
              </m:oMath>
            </m:oMathPara>
          </w:p>
        </w:tc>
        <w:tc>
          <w:tcPr>
            <w:tcW w:w="4253" w:type="dxa"/>
            <w:vAlign w:val="center"/>
          </w:tcPr>
          <w:p w:rsidR="00815AD4" w:rsidRDefault="00EA507A">
            <w:pPr>
              <w:spacing w:line="360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测量设备引入的不确定度影响分量</w:t>
            </w:r>
          </w:p>
        </w:tc>
        <w:tc>
          <w:tcPr>
            <w:tcW w:w="2216" w:type="dxa"/>
            <w:vAlign w:val="center"/>
          </w:tcPr>
          <w:p w:rsidR="00815AD4" w:rsidRDefault="00EA507A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0.</w:t>
            </w:r>
            <w:r w:rsidR="007A3A87">
              <w:rPr>
                <w:color w:val="000000"/>
                <w:sz w:val="24"/>
              </w:rPr>
              <w:t>3</w:t>
            </w:r>
            <w:r>
              <w:rPr>
                <w:color w:val="000000"/>
                <w:sz w:val="24"/>
              </w:rPr>
              <w:t>HRA</w:t>
            </w:r>
          </w:p>
        </w:tc>
      </w:tr>
    </w:tbl>
    <w:p w:rsidR="00815AD4" w:rsidRDefault="00EA507A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4.3</w:t>
      </w:r>
      <w:r>
        <w:rPr>
          <w:color w:val="000000"/>
          <w:sz w:val="24"/>
        </w:rPr>
        <w:t>、合成标准不确定度的计算</w:t>
      </w:r>
    </w:p>
    <w:p w:rsidR="00815AD4" w:rsidRDefault="00EA507A">
      <w:pPr>
        <w:spacing w:line="360" w:lineRule="auto"/>
        <w:ind w:firstLineChars="100" w:firstLine="240"/>
        <w:rPr>
          <w:color w:val="000000"/>
          <w:sz w:val="24"/>
        </w:rPr>
      </w:pPr>
      <w:r>
        <w:rPr>
          <w:color w:val="000000"/>
          <w:sz w:val="24"/>
        </w:rPr>
        <w:t>合成标准不确定度可按下式得到：</w:t>
      </w:r>
    </w:p>
    <w:p w:rsidR="00815AD4" w:rsidRDefault="00EA507A">
      <w:pPr>
        <w:pStyle w:val="MTDisplayEquation"/>
        <w:spacing w:line="360" w:lineRule="auto"/>
        <w:ind w:left="1418" w:firstLineChars="250" w:firstLine="600"/>
        <w:rPr>
          <w:color w:val="00000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color w:val="00000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u</m:t>
              </m:r>
            </m:e>
            <m:sub>
              <m:r>
                <w:rPr>
                  <w:rFonts w:ascii="Cambria Math" w:hAnsi="Cambria Math"/>
                  <w:color w:val="000000"/>
                </w:rPr>
                <m:t>c</m:t>
              </m:r>
            </m:sub>
          </m:sSub>
          <m:r>
            <w:rPr>
              <w:rFonts w:ascii="Cambria Math" w:hAnsi="Cambria Math"/>
              <w:color w:val="000000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  <w:color w:val="000000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/>
                    </w:rPr>
                    <m:t>u</m:t>
                  </m:r>
                  <m:r>
                    <w:rPr>
                      <w:rFonts w:ascii="Cambria Math" w:hAnsi="Cambria Math"/>
                      <w:color w:val="000000"/>
                    </w:rPr>
                    <m:t>(</m:t>
                  </m:r>
                  <m:r>
                    <w:rPr>
                      <w:rFonts w:ascii="Cambria Math" w:hAnsi="Cambria Math"/>
                      <w:color w:val="000000"/>
                    </w:rPr>
                    <m:t>x</m:t>
                  </m:r>
                  <m:r>
                    <w:rPr>
                      <w:rFonts w:ascii="Cambria Math" w:hAnsi="Cambria Math"/>
                      <w:color w:val="000000"/>
                    </w:rPr>
                    <m:t>)</m:t>
                  </m:r>
                </m:e>
                <m:sup>
                  <m:r>
                    <w:rPr>
                      <w:rFonts w:ascii="Cambria Math" w:hAnsi="Cambria Math"/>
                      <w:color w:val="000000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color w:val="000000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/>
                    </w:rPr>
                    <m:t>u</m:t>
                  </m:r>
                  <m:r>
                    <w:rPr>
                      <w:rFonts w:ascii="Cambria Math" w:hAnsi="Cambria Math"/>
                      <w:color w:val="000000"/>
                    </w:rPr>
                    <m:t>(</m:t>
                  </m:r>
                  <m:r>
                    <w:rPr>
                      <w:rFonts w:ascii="Cambria Math" w:hAnsi="Cambria Math"/>
                      <w:color w:val="000000"/>
                    </w:rPr>
                    <m:t>y</m:t>
                  </m:r>
                  <m:r>
                    <w:rPr>
                      <w:rFonts w:ascii="Cambria Math" w:hAnsi="Cambria Math"/>
                      <w:color w:val="000000"/>
                    </w:rPr>
                    <m:t>)</m:t>
                  </m:r>
                </m:e>
                <m:sup>
                  <m:r>
                    <w:rPr>
                      <w:rFonts w:ascii="Cambria Math" w:hAnsi="Cambria Math"/>
                      <w:color w:val="000000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/>
              <w:color w:val="000000"/>
            </w:rPr>
            <m:t>=</m:t>
          </m:r>
          <m:r>
            <w:rPr>
              <w:rFonts w:ascii="Cambria Math" w:hAnsi="Cambria Math"/>
              <w:color w:val="000000"/>
            </w:rPr>
            <m:t>0.</m:t>
          </m:r>
          <m:r>
            <m:rPr>
              <m:nor/>
            </m:rPr>
            <w:rPr>
              <w:rFonts w:ascii="Cambria Math"/>
              <w:color w:val="000000"/>
            </w:rPr>
            <m:t>3</m:t>
          </m:r>
          <m:r>
            <m:rPr>
              <m:sty m:val="p"/>
            </m:rPr>
            <w:rPr>
              <w:rFonts w:ascii="Cambria Math" w:hAnsi="Cambria Math"/>
              <w:color w:val="000000"/>
            </w:rPr>
            <m:t>HRA</m:t>
          </m:r>
        </m:oMath>
      </m:oMathPara>
    </w:p>
    <w:p w:rsidR="00815AD4" w:rsidRDefault="00EA507A">
      <w:pPr>
        <w:spacing w:line="360" w:lineRule="auto"/>
        <w:rPr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  <w:t>5</w:t>
      </w:r>
      <w:r>
        <w:rPr>
          <w:b/>
          <w:bCs/>
          <w:color w:val="000000"/>
          <w:sz w:val="24"/>
        </w:rPr>
        <w:t>、相对扩展不确定度的计算</w:t>
      </w:r>
    </w:p>
    <w:p w:rsidR="00815AD4" w:rsidRDefault="00EA507A">
      <w:pPr>
        <w:spacing w:line="360" w:lineRule="auto"/>
        <w:ind w:firstLineChars="100" w:firstLine="240"/>
        <w:rPr>
          <w:color w:val="000000"/>
          <w:sz w:val="24"/>
        </w:rPr>
      </w:pPr>
      <w:r>
        <w:rPr>
          <w:color w:val="000000"/>
          <w:sz w:val="24"/>
        </w:rPr>
        <w:t>取</w:t>
      </w:r>
      <w:r>
        <w:rPr>
          <w:i/>
          <w:color w:val="000000"/>
          <w:sz w:val="24"/>
        </w:rPr>
        <w:t>ｋ＝</w:t>
      </w:r>
      <w:r>
        <w:rPr>
          <w:i/>
          <w:color w:val="000000"/>
          <w:sz w:val="24"/>
        </w:rPr>
        <w:t xml:space="preserve">2,  </w:t>
      </w:r>
      <w:r>
        <w:rPr>
          <w:color w:val="000000"/>
          <w:sz w:val="24"/>
        </w:rPr>
        <w:t>得</w:t>
      </w:r>
    </w:p>
    <w:p w:rsidR="00815AD4" w:rsidRDefault="00EA507A">
      <w:pPr>
        <w:spacing w:line="360" w:lineRule="auto"/>
        <w:ind w:firstLineChars="500" w:firstLine="1200"/>
        <w:rPr>
          <w:color w:val="000000"/>
          <w:sz w:val="24"/>
        </w:rPr>
      </w:pPr>
      <w:r>
        <w:rPr>
          <w:color w:val="000000"/>
          <w:sz w:val="24"/>
        </w:rPr>
        <w:t xml:space="preserve"> </w:t>
      </w:r>
      <w:r>
        <w:rPr>
          <w:i/>
          <w:color w:val="000000"/>
          <w:sz w:val="24"/>
        </w:rPr>
        <w:t>U</w:t>
      </w:r>
      <w:r>
        <w:rPr>
          <w:i/>
          <w:color w:val="000000"/>
          <w:sz w:val="24"/>
        </w:rPr>
        <w:t>＝</w:t>
      </w:r>
      <w:r>
        <w:rPr>
          <w:i/>
          <w:color w:val="000000"/>
          <w:sz w:val="24"/>
        </w:rPr>
        <w:t>k·</w:t>
      </w:r>
      <w:r>
        <w:rPr>
          <w:i/>
          <w:color w:val="000000"/>
          <w:sz w:val="24"/>
        </w:rPr>
        <w:t>ｕ</w:t>
      </w:r>
      <w:r>
        <w:rPr>
          <w:iCs/>
          <w:color w:val="000000"/>
          <w:sz w:val="24"/>
          <w:vertAlign w:val="subscript"/>
        </w:rPr>
        <w:t>ｃ</w:t>
      </w:r>
      <w:r>
        <w:rPr>
          <w:color w:val="000000"/>
          <w:sz w:val="24"/>
        </w:rPr>
        <w:t>＝</w:t>
      </w:r>
      <w:r>
        <w:rPr>
          <w:color w:val="000000"/>
          <w:sz w:val="24"/>
        </w:rPr>
        <w:t>2×0.</w:t>
      </w:r>
      <w:r w:rsidR="007A3A87">
        <w:rPr>
          <w:color w:val="000000"/>
          <w:sz w:val="24"/>
        </w:rPr>
        <w:t>3</w:t>
      </w:r>
      <w:r>
        <w:rPr>
          <w:color w:val="000000"/>
          <w:sz w:val="24"/>
        </w:rPr>
        <w:t>HRA</w:t>
      </w:r>
      <w:r>
        <w:rPr>
          <w:color w:val="000000"/>
          <w:sz w:val="24"/>
        </w:rPr>
        <w:t>＝</w:t>
      </w:r>
      <w:r>
        <w:rPr>
          <w:color w:val="000000"/>
          <w:sz w:val="24"/>
        </w:rPr>
        <w:t>0.</w:t>
      </w:r>
      <w:r w:rsidR="007A3A87">
        <w:rPr>
          <w:color w:val="000000"/>
          <w:sz w:val="24"/>
        </w:rPr>
        <w:t>6</w:t>
      </w:r>
      <w:r>
        <w:rPr>
          <w:color w:val="000000"/>
          <w:sz w:val="24"/>
        </w:rPr>
        <w:t>HRA</w:t>
      </w:r>
    </w:p>
    <w:p w:rsidR="00815AD4" w:rsidRDefault="00EA507A">
      <w:pPr>
        <w:spacing w:line="360" w:lineRule="auto"/>
        <w:rPr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  <w:t>6</w:t>
      </w:r>
      <w:r>
        <w:rPr>
          <w:b/>
          <w:bCs/>
          <w:color w:val="000000"/>
          <w:sz w:val="24"/>
        </w:rPr>
        <w:t>、测量结果的不确定度表示为：</w:t>
      </w:r>
    </w:p>
    <w:p w:rsidR="00815AD4" w:rsidRDefault="00EA507A">
      <w:pPr>
        <w:spacing w:line="360" w:lineRule="auto"/>
        <w:ind w:firstLineChars="400" w:firstLine="960"/>
        <w:rPr>
          <w:color w:val="000000"/>
          <w:sz w:val="24"/>
        </w:rPr>
      </w:pPr>
      <w:r>
        <w:rPr>
          <w:i/>
          <w:color w:val="000000"/>
          <w:sz w:val="24"/>
        </w:rPr>
        <w:t xml:space="preserve">y </w:t>
      </w:r>
      <w:r>
        <w:rPr>
          <w:color w:val="000000"/>
          <w:sz w:val="24"/>
        </w:rPr>
        <w:t>＝</w:t>
      </w:r>
      <w:r>
        <w:rPr>
          <w:color w:val="000000"/>
          <w:sz w:val="24"/>
        </w:rPr>
        <w:t>83.61HRA</w:t>
      </w:r>
      <w:r>
        <w:rPr>
          <w:color w:val="000000"/>
          <w:sz w:val="24"/>
        </w:rPr>
        <w:t>；</w:t>
      </w:r>
      <w:r>
        <w:rPr>
          <w:color w:val="000000"/>
          <w:sz w:val="24"/>
        </w:rPr>
        <w:t xml:space="preserve"> </w:t>
      </w:r>
      <w:r>
        <w:rPr>
          <w:i/>
          <w:color w:val="000000"/>
          <w:sz w:val="24"/>
        </w:rPr>
        <w:t>U</w:t>
      </w:r>
      <w:r>
        <w:rPr>
          <w:i/>
          <w:color w:val="000000"/>
          <w:sz w:val="24"/>
        </w:rPr>
        <w:t>＝</w:t>
      </w:r>
      <w:r>
        <w:rPr>
          <w:iCs/>
          <w:color w:val="000000"/>
          <w:sz w:val="24"/>
        </w:rPr>
        <w:t>0.</w:t>
      </w:r>
      <w:r w:rsidR="007A3A87">
        <w:rPr>
          <w:iCs/>
          <w:color w:val="000000"/>
          <w:sz w:val="24"/>
        </w:rPr>
        <w:t>6</w:t>
      </w:r>
      <w:r>
        <w:rPr>
          <w:color w:val="000000"/>
          <w:sz w:val="24"/>
        </w:rPr>
        <w:t xml:space="preserve">HRA </w:t>
      </w:r>
      <w:r>
        <w:rPr>
          <w:i/>
          <w:color w:val="000000"/>
          <w:sz w:val="24"/>
        </w:rPr>
        <w:t>ｋ</w:t>
      </w:r>
      <w:r>
        <w:rPr>
          <w:color w:val="000000"/>
          <w:sz w:val="24"/>
        </w:rPr>
        <w:t>＝</w:t>
      </w:r>
      <w:r>
        <w:rPr>
          <w:color w:val="000000"/>
          <w:sz w:val="24"/>
        </w:rPr>
        <w:t>2</w:t>
      </w:r>
    </w:p>
    <w:p w:rsidR="00815AD4" w:rsidRDefault="00815AD4">
      <w:pPr>
        <w:spacing w:line="360" w:lineRule="auto"/>
        <w:ind w:left="180" w:rightChars="-214" w:right="-449"/>
        <w:jc w:val="center"/>
        <w:rPr>
          <w:color w:val="000000"/>
          <w:sz w:val="24"/>
        </w:rPr>
      </w:pPr>
    </w:p>
    <w:sectPr w:rsidR="00815AD4">
      <w:pgSz w:w="11906" w:h="16838"/>
      <w:pgMar w:top="1134" w:right="1797" w:bottom="992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507A" w:rsidRDefault="00EA507A" w:rsidP="007A3A87">
      <w:r>
        <w:separator/>
      </w:r>
    </w:p>
  </w:endnote>
  <w:endnote w:type="continuationSeparator" w:id="0">
    <w:p w:rsidR="00EA507A" w:rsidRDefault="00EA507A" w:rsidP="007A3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507A" w:rsidRDefault="00EA507A" w:rsidP="007A3A87">
      <w:r>
        <w:separator/>
      </w:r>
    </w:p>
  </w:footnote>
  <w:footnote w:type="continuationSeparator" w:id="0">
    <w:p w:rsidR="00EA507A" w:rsidRDefault="00EA507A" w:rsidP="007A3A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91E"/>
    <w:rsid w:val="000254FE"/>
    <w:rsid w:val="00031CD7"/>
    <w:rsid w:val="00037FFC"/>
    <w:rsid w:val="00041C44"/>
    <w:rsid w:val="00081FF9"/>
    <w:rsid w:val="000F74B3"/>
    <w:rsid w:val="00142BAC"/>
    <w:rsid w:val="0014407B"/>
    <w:rsid w:val="0015538C"/>
    <w:rsid w:val="001B5114"/>
    <w:rsid w:val="00243856"/>
    <w:rsid w:val="00254F38"/>
    <w:rsid w:val="00296ADD"/>
    <w:rsid w:val="00354E2E"/>
    <w:rsid w:val="003708F2"/>
    <w:rsid w:val="003830B0"/>
    <w:rsid w:val="003875BE"/>
    <w:rsid w:val="003F5DD8"/>
    <w:rsid w:val="003F7DF6"/>
    <w:rsid w:val="00421567"/>
    <w:rsid w:val="00441D34"/>
    <w:rsid w:val="00466BC4"/>
    <w:rsid w:val="004B02B7"/>
    <w:rsid w:val="004F2C9D"/>
    <w:rsid w:val="00504261"/>
    <w:rsid w:val="005547C5"/>
    <w:rsid w:val="005B1FB4"/>
    <w:rsid w:val="005C23B2"/>
    <w:rsid w:val="005D34EF"/>
    <w:rsid w:val="005F73F9"/>
    <w:rsid w:val="006153E7"/>
    <w:rsid w:val="006A391E"/>
    <w:rsid w:val="006B148D"/>
    <w:rsid w:val="006C38CB"/>
    <w:rsid w:val="006C4A67"/>
    <w:rsid w:val="006E1108"/>
    <w:rsid w:val="00714173"/>
    <w:rsid w:val="007262CE"/>
    <w:rsid w:val="0078499B"/>
    <w:rsid w:val="0079040B"/>
    <w:rsid w:val="007946A6"/>
    <w:rsid w:val="007A3A87"/>
    <w:rsid w:val="00815AD4"/>
    <w:rsid w:val="0090719D"/>
    <w:rsid w:val="00915623"/>
    <w:rsid w:val="00917D53"/>
    <w:rsid w:val="00923F42"/>
    <w:rsid w:val="00950E48"/>
    <w:rsid w:val="0098295D"/>
    <w:rsid w:val="00990B67"/>
    <w:rsid w:val="009C0714"/>
    <w:rsid w:val="00A740E9"/>
    <w:rsid w:val="00AC50A8"/>
    <w:rsid w:val="00AC5886"/>
    <w:rsid w:val="00AF1CD9"/>
    <w:rsid w:val="00B04AFF"/>
    <w:rsid w:val="00B63FF9"/>
    <w:rsid w:val="00BD62BE"/>
    <w:rsid w:val="00BE6F8B"/>
    <w:rsid w:val="00C17467"/>
    <w:rsid w:val="00C17E84"/>
    <w:rsid w:val="00C5393C"/>
    <w:rsid w:val="00C642A9"/>
    <w:rsid w:val="00C95FEB"/>
    <w:rsid w:val="00D22EC1"/>
    <w:rsid w:val="00D279D3"/>
    <w:rsid w:val="00D46553"/>
    <w:rsid w:val="00DF4B94"/>
    <w:rsid w:val="00E670D6"/>
    <w:rsid w:val="00E85403"/>
    <w:rsid w:val="00EA507A"/>
    <w:rsid w:val="00F17A12"/>
    <w:rsid w:val="00F32C76"/>
    <w:rsid w:val="00F35277"/>
    <w:rsid w:val="00F55C60"/>
    <w:rsid w:val="00F85E51"/>
    <w:rsid w:val="00FB4A1B"/>
    <w:rsid w:val="00FE47A5"/>
    <w:rsid w:val="00FF547A"/>
    <w:rsid w:val="50200B61"/>
    <w:rsid w:val="6494259D"/>
    <w:rsid w:val="7BD95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6D74E6C"/>
  <w15:docId w15:val="{CBF064F6-F08A-48D7-A3D8-04BCA6DFF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kern w:val="2"/>
      <w:sz w:val="18"/>
      <w:szCs w:val="18"/>
    </w:rPr>
  </w:style>
  <w:style w:type="paragraph" w:customStyle="1" w:styleId="MTDisplayEquation">
    <w:name w:val="MTDisplayEquation"/>
    <w:basedOn w:val="a"/>
    <w:next w:val="a"/>
    <w:pPr>
      <w:widowControl/>
      <w:tabs>
        <w:tab w:val="center" w:pos="4360"/>
        <w:tab w:val="right" w:pos="8300"/>
      </w:tabs>
      <w:ind w:left="420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3B2EB21-152B-43F1-BBBA-8C0BE3EAF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181</Words>
  <Characters>1037</Characters>
  <Application>Microsoft Office Word</Application>
  <DocSecurity>0</DocSecurity>
  <Lines>8</Lines>
  <Paragraphs>2</Paragraphs>
  <ScaleCrop>false</ScaleCrop>
  <Company>www.os115.com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julumei@outlook.com</cp:lastModifiedBy>
  <cp:revision>12</cp:revision>
  <cp:lastPrinted>2018-12-05T06:44:00Z</cp:lastPrinted>
  <dcterms:created xsi:type="dcterms:W3CDTF">2020-03-19T13:55:00Z</dcterms:created>
  <dcterms:modified xsi:type="dcterms:W3CDTF">2021-04-20T02:51:00Z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