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彭宏</w:t>
            </w:r>
            <w:r>
              <w:rPr>
                <w:rFonts w:hint="eastAsia"/>
                <w:sz w:val="24"/>
                <w:szCs w:val="24"/>
              </w:rPr>
              <w:t xml:space="preserve">    陪同人员：</w:t>
            </w:r>
            <w:r>
              <w:rPr>
                <w:rFonts w:hint="eastAsia"/>
                <w:sz w:val="24"/>
                <w:szCs w:val="24"/>
                <w:lang w:val="en-US" w:eastAsia="zh-CN"/>
              </w:rPr>
              <w:t>易秀珍/范冬梅</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eastAsia="zh-CN"/>
              </w:rPr>
              <w:t>李俐、</w:t>
            </w:r>
            <w:r>
              <w:rPr>
                <w:rFonts w:hint="eastAsia"/>
                <w:sz w:val="24"/>
                <w:szCs w:val="24"/>
                <w:lang w:val="en-US" w:eastAsia="zh-CN"/>
              </w:rPr>
              <w:t xml:space="preserve">宋明珠、郭力、向晓峰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04</w:t>
            </w:r>
            <w:r>
              <w:rPr>
                <w:rFonts w:hint="eastAsia"/>
                <w:sz w:val="24"/>
                <w:szCs w:val="24"/>
              </w:rPr>
              <w:t>月</w:t>
            </w:r>
            <w:r>
              <w:rPr>
                <w:rFonts w:hint="eastAsia"/>
                <w:sz w:val="24"/>
                <w:szCs w:val="24"/>
                <w:lang w:val="en-US" w:eastAsia="zh-CN"/>
              </w:rPr>
              <w:t>12</w:t>
            </w:r>
            <w:r>
              <w:rPr>
                <w:rFonts w:hint="eastAsia"/>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spacing w:line="360" w:lineRule="auto"/>
              <w:rPr>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hint="eastAsia" w:ascii="Times New Roman" w:hAnsi="Times New Roman" w:eastAsia="宋体" w:cs="Times New Roman"/>
                <w:szCs w:val="22"/>
                <w:lang w:val="en-US" w:eastAsia="zh-CN"/>
              </w:rPr>
              <w:t>2011-06-27</w:t>
            </w:r>
            <w:r>
              <w:rPr>
                <w:rFonts w:hint="eastAsia" w:ascii="宋体" w:hAnsi="宋体" w:cs="宋体"/>
                <w:szCs w:val="21"/>
              </w:rPr>
              <w:t>注册，法人：</w:t>
            </w:r>
            <w:r>
              <w:rPr>
                <w:rFonts w:hint="eastAsia" w:ascii="宋体" w:hAnsi="宋体" w:cs="宋体"/>
                <w:szCs w:val="21"/>
                <w:lang w:val="en-US" w:eastAsia="zh-CN"/>
              </w:rPr>
              <w:t>彭宏</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彭宏</w:t>
            </w:r>
            <w:r>
              <w:rPr>
                <w:rFonts w:hint="eastAsia"/>
                <w:color w:val="000000"/>
                <w:szCs w:val="21"/>
              </w:rPr>
              <w:t xml:space="preserve">  管理者代表：</w:t>
            </w:r>
            <w:r>
              <w:rPr>
                <w:rFonts w:hint="eastAsia"/>
                <w:color w:val="000000"/>
                <w:szCs w:val="21"/>
                <w:lang w:val="en-US" w:eastAsia="zh-CN"/>
              </w:rPr>
              <w:t>易秀珍</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w:t>
            </w:r>
            <w:r>
              <w:rPr>
                <w:rFonts w:hint="eastAsia" w:ascii="宋体" w:hAnsi="宋体" w:cs="宋体"/>
                <w:szCs w:val="21"/>
                <w:lang w:eastAsia="zh-CN"/>
              </w:rPr>
              <w:t>成都崇州经济开发区晨曦大道中段1175号</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生产经营地址：</w:t>
            </w:r>
            <w:r>
              <w:rPr>
                <w:rFonts w:hint="eastAsia" w:ascii="宋体" w:hAnsi="宋体" w:cs="宋体"/>
                <w:szCs w:val="21"/>
                <w:lang w:eastAsia="zh-CN"/>
              </w:rPr>
              <w:t>成都崇州经济开发区晨曦大道中段1175号</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该场所为租赁的厂房。</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w:t>
            </w:r>
            <w:r>
              <w:rPr>
                <w:rFonts w:hint="eastAsia"/>
                <w:lang w:val="en-US" w:eastAsia="zh-CN"/>
              </w:rPr>
              <w:t>。</w:t>
            </w:r>
            <w:r>
              <w:rPr>
                <w:rFonts w:hint="eastAsia" w:ascii="宋体" w:hAnsi="宋体" w:cs="宋体"/>
                <w:szCs w:val="21"/>
              </w:rPr>
              <w:t>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spacing w:line="360" w:lineRule="auto"/>
              <w:ind w:firstLine="400" w:firstLineChars="200"/>
              <w:rPr>
                <w:sz w:val="20"/>
              </w:rPr>
            </w:pPr>
            <w:r>
              <w:rPr>
                <w:sz w:val="20"/>
              </w:rPr>
              <w:t>E：</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环境管理活动</w:t>
            </w:r>
          </w:p>
          <w:p>
            <w:pPr>
              <w:spacing w:line="360" w:lineRule="auto"/>
              <w:ind w:firstLine="400" w:firstLineChars="200"/>
              <w:rPr>
                <w:sz w:val="20"/>
              </w:rPr>
            </w:pPr>
            <w:r>
              <w:rPr>
                <w:sz w:val="20"/>
              </w:rPr>
              <w:t>O：</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sz w:val="20"/>
              </w:rPr>
              <w:t>及相关职业健康安全管理活动</w:t>
            </w:r>
            <w:bookmarkEnd w:id="0"/>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6</w:t>
            </w:r>
            <w:r>
              <w:rPr>
                <w:rFonts w:hint="eastAsia"/>
                <w:color w:val="000000"/>
                <w:szCs w:val="21"/>
              </w:rPr>
              <w:t xml:space="preserve">个职能部门: </w:t>
            </w:r>
            <w:r>
              <w:rPr>
                <w:rFonts w:hint="eastAsia"/>
                <w:color w:val="000000"/>
                <w:szCs w:val="21"/>
                <w:lang w:eastAsia="zh-CN"/>
              </w:rPr>
              <w:t>行政人事部、生产部、采购部、营销中心、技术质量部、财务部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63</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b)通过签订客户协议和供应商协议的条款把控风险。从各个方面确保范围内的等质量，过程环境影响、危险源管理等，提高客户满意度，同时对风险加以控制。</w:t>
            </w:r>
          </w:p>
          <w:p>
            <w:pPr>
              <w:spacing w:line="360" w:lineRule="auto"/>
            </w:pPr>
            <w:r>
              <w:rPr>
                <w:rFonts w:hint="eastAsia"/>
              </w:rPr>
              <w:t>3.识别进行经营范围内的</w:t>
            </w:r>
            <w:r>
              <w:rPr>
                <w:rFonts w:hint="eastAsia"/>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rPr>
              <w:t>。</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油漆、表面处理、金属件焊接</w:t>
            </w:r>
            <w:r>
              <w:rPr>
                <w:rFonts w:hint="eastAsia" w:ascii="宋体" w:hAnsi="宋体" w:cs="宋体"/>
                <w:szCs w:val="21"/>
              </w:rPr>
              <w:t>。</w:t>
            </w:r>
          </w:p>
          <w:p>
            <w:pPr>
              <w:pStyle w:val="2"/>
              <w:spacing w:line="360" w:lineRule="auto"/>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spacing w:line="360" w:lineRule="auto"/>
              <w:jc w:val="left"/>
              <w:rPr>
                <w:rFonts w:hint="eastAsia"/>
                <w:szCs w:val="22"/>
                <w:lang w:val="en-US" w:eastAsia="zh-CN"/>
              </w:rPr>
            </w:pPr>
            <w:r>
              <w:rPr>
                <w:rFonts w:hint="eastAsia"/>
                <w:szCs w:val="22"/>
                <w:lang w:val="en-US" w:eastAsia="zh-CN"/>
              </w:rPr>
              <w:t>生产流程：开料-造型-封边-排孔-组装-包装入库</w:t>
            </w:r>
          </w:p>
          <w:p>
            <w:pPr>
              <w:spacing w:line="360" w:lineRule="auto"/>
              <w:jc w:val="left"/>
              <w:rPr>
                <w:rFonts w:hint="eastAsia"/>
                <w:szCs w:val="22"/>
                <w:lang w:val="en-US" w:eastAsia="zh-CN"/>
              </w:rPr>
            </w:pPr>
            <w:r>
              <w:rPr>
                <w:rFonts w:hint="eastAsia"/>
                <w:szCs w:val="22"/>
                <w:lang w:val="en-US" w:eastAsia="zh-CN"/>
              </w:rPr>
              <w:t>木工板部分工艺流程：冷压贴面板(防火板)-开料-封边-排孔-打磨-底面漆-组装</w:t>
            </w:r>
          </w:p>
          <w:p>
            <w:pPr>
              <w:spacing w:line="360" w:lineRule="auto"/>
              <w:jc w:val="left"/>
              <w:rPr>
                <w:rFonts w:hint="eastAsia"/>
                <w:szCs w:val="22"/>
                <w:lang w:val="en-US" w:eastAsia="zh-CN"/>
              </w:rPr>
            </w:pPr>
            <w:r>
              <w:rPr>
                <w:rFonts w:hint="eastAsia"/>
                <w:szCs w:val="22"/>
                <w:lang w:val="en-US" w:eastAsia="zh-CN"/>
              </w:rPr>
              <w:t>铁件加工流程：下料-钻孔攻丝-焊接-打磨抛光-喷塑-烘烤-检验-组装</w:t>
            </w:r>
          </w:p>
          <w:p>
            <w:pPr>
              <w:spacing w:line="360" w:lineRule="auto"/>
              <w:jc w:val="left"/>
              <w:rPr>
                <w:rFonts w:hint="eastAsia"/>
                <w:szCs w:val="22"/>
                <w:lang w:val="en-US" w:eastAsia="zh-CN"/>
              </w:rPr>
            </w:pPr>
            <w:r>
              <w:rPr>
                <w:rFonts w:hint="eastAsia"/>
                <w:szCs w:val="22"/>
                <w:lang w:val="en-US" w:eastAsia="zh-CN"/>
              </w:rPr>
              <w:t>金属加工：下料-钻孔-焊接-成型-喷塑-烘烤-检验-组装-检验-包装-入库</w:t>
            </w:r>
          </w:p>
          <w:p>
            <w:pPr>
              <w:spacing w:line="360" w:lineRule="auto"/>
              <w:jc w:val="left"/>
              <w:rPr>
                <w:rFonts w:hint="eastAsia"/>
                <w:szCs w:val="22"/>
                <w:lang w:val="en-US" w:eastAsia="zh-CN"/>
              </w:rPr>
            </w:pPr>
            <w:r>
              <w:rPr>
                <w:rFonts w:hint="eastAsia"/>
                <w:szCs w:val="22"/>
                <w:lang w:val="en-US" w:eastAsia="zh-CN"/>
              </w:rPr>
              <w:t>木工加工：下料-钻孔-组装-检验</w:t>
            </w:r>
          </w:p>
          <w:p>
            <w:pPr>
              <w:spacing w:line="360" w:lineRule="auto"/>
              <w:jc w:val="left"/>
              <w:rPr>
                <w:rFonts w:hint="eastAsia"/>
                <w:szCs w:val="22"/>
                <w:lang w:val="en-US" w:eastAsia="zh-CN"/>
              </w:rPr>
            </w:pPr>
            <w:r>
              <w:rPr>
                <w:rFonts w:hint="eastAsia"/>
                <w:szCs w:val="22"/>
                <w:lang w:val="en-US" w:eastAsia="zh-CN"/>
              </w:rPr>
              <w:t xml:space="preserve">木床生产流程：下料-钻孔-封边-贴纸-油漆-组装-包装  </w:t>
            </w:r>
          </w:p>
          <w:p>
            <w:pPr>
              <w:spacing w:line="360" w:lineRule="auto"/>
              <w:jc w:val="left"/>
              <w:rPr>
                <w:rFonts w:hint="eastAsia"/>
                <w:szCs w:val="22"/>
                <w:lang w:val="en-US" w:eastAsia="zh-CN"/>
              </w:rPr>
            </w:pPr>
            <w:r>
              <w:rPr>
                <w:rFonts w:hint="eastAsia"/>
                <w:szCs w:val="22"/>
                <w:lang w:val="en-US" w:eastAsia="zh-CN"/>
              </w:rPr>
              <w:t>铁床：开料-成型-打磨-核正-焊接-打砂-喷塑-烘烤-检验-组装-打包-入库</w:t>
            </w:r>
          </w:p>
          <w:p>
            <w:pPr>
              <w:spacing w:line="360" w:lineRule="auto"/>
              <w:jc w:val="left"/>
              <w:rPr>
                <w:rFonts w:hint="eastAsia"/>
                <w:szCs w:val="22"/>
                <w:lang w:val="en-US" w:eastAsia="zh-CN"/>
              </w:rPr>
            </w:pPr>
            <w:r>
              <w:rPr>
                <w:rFonts w:hint="eastAsia"/>
                <w:szCs w:val="22"/>
                <w:lang w:val="en-US" w:eastAsia="zh-CN"/>
              </w:rPr>
              <w:t>木质办公家具：下料-封边-冷压-造型-排孔-组装-检验-组装-打包-入库</w:t>
            </w:r>
          </w:p>
          <w:p>
            <w:pPr>
              <w:spacing w:line="360" w:lineRule="auto"/>
              <w:jc w:val="left"/>
              <w:rPr>
                <w:rFonts w:hint="eastAsia" w:ascii="宋体" w:hAnsi="宋体" w:eastAsia="宋体" w:cs="宋体"/>
                <w:color w:val="000000"/>
                <w:kern w:val="0"/>
                <w:sz w:val="21"/>
                <w:szCs w:val="21"/>
                <w:lang w:val="en-US" w:eastAsia="zh-CN" w:bidi="ar"/>
              </w:rPr>
            </w:pPr>
            <w:r>
              <w:rPr>
                <w:rFonts w:hint="eastAsia"/>
                <w:szCs w:val="22"/>
                <w:lang w:val="en-US" w:eastAsia="zh-CN"/>
              </w:rPr>
              <w:t>软体沙发：裁剪-缝制-绷皮-板材开料-打孔-钉架-成型-海绵选料-裁剪-粘连-组装-检验-包装-入库。</w:t>
            </w:r>
          </w:p>
          <w:p>
            <w:pPr>
              <w:spacing w:line="360" w:lineRule="auto"/>
              <w:jc w:val="left"/>
            </w:pPr>
            <w:r>
              <w:rPr>
                <w:rFonts w:hint="eastAsia"/>
              </w:rPr>
              <w:t>管理体系从</w:t>
            </w:r>
            <w:r>
              <w:rPr>
                <w:rFonts w:hint="eastAsia"/>
                <w:lang w:eastAsia="zh-CN"/>
              </w:rPr>
              <w:t>2020年</w:t>
            </w:r>
            <w:r>
              <w:rPr>
                <w:rFonts w:hint="eastAsia"/>
                <w:lang w:val="en-US" w:eastAsia="zh-CN"/>
              </w:rPr>
              <w:t>5</w:t>
            </w:r>
            <w:r>
              <w:rPr>
                <w:rFonts w:hint="eastAsia"/>
                <w:lang w:eastAsia="zh-CN"/>
              </w:rPr>
              <w:t>月1</w:t>
            </w:r>
            <w:r>
              <w:rPr>
                <w:rFonts w:hint="eastAsia"/>
                <w:lang w:val="en-US" w:eastAsia="zh-CN"/>
              </w:rPr>
              <w:t>0</w:t>
            </w:r>
            <w:r>
              <w:rPr>
                <w:rFonts w:hint="eastAsia"/>
                <w:lang w:eastAsia="zh-CN"/>
              </w:rPr>
              <w:t>日</w:t>
            </w:r>
            <w:r>
              <w:rPr>
                <w:rFonts w:hint="eastAsia"/>
              </w:rPr>
              <w:t>实施以来，已经</w:t>
            </w:r>
            <w:r>
              <w:rPr>
                <w:rFonts w:hint="eastAsia"/>
                <w:lang w:val="en-US" w:eastAsia="zh-CN"/>
              </w:rPr>
              <w:t>11个月</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auto"/>
              </w:rPr>
            </w:pPr>
            <w:r>
              <w:rPr>
                <w:rFonts w:hint="eastAsia"/>
                <w:color w:val="auto"/>
              </w:rPr>
              <w:t>领导作用与承诺</w:t>
            </w:r>
          </w:p>
          <w:p>
            <w:pPr>
              <w:spacing w:line="360" w:lineRule="auto"/>
              <w:rPr>
                <w:color w:val="auto"/>
              </w:rPr>
            </w:pPr>
            <w:r>
              <w:rPr>
                <w:rFonts w:hint="eastAsia"/>
                <w:color w:val="auto"/>
              </w:rPr>
              <w:t>--总则</w:t>
            </w:r>
          </w:p>
        </w:tc>
        <w:tc>
          <w:tcPr>
            <w:tcW w:w="960" w:type="dxa"/>
          </w:tcPr>
          <w:p>
            <w:pPr>
              <w:spacing w:line="360" w:lineRule="auto"/>
              <w:rPr>
                <w:color w:val="auto"/>
              </w:rPr>
            </w:pPr>
            <w:r>
              <w:rPr>
                <w:rFonts w:hint="eastAsia"/>
                <w:color w:val="auto"/>
              </w:rPr>
              <w:t>QE</w:t>
            </w:r>
            <w:r>
              <w:rPr>
                <w:color w:val="auto"/>
              </w:rPr>
              <w:t>O</w:t>
            </w:r>
          </w:p>
          <w:p>
            <w:pPr>
              <w:spacing w:line="360" w:lineRule="auto"/>
              <w:rPr>
                <w:color w:val="auto"/>
              </w:rPr>
            </w:pPr>
            <w:r>
              <w:rPr>
                <w:rFonts w:hint="eastAsia"/>
                <w:color w:val="auto"/>
              </w:rPr>
              <w:t>5.1</w:t>
            </w:r>
          </w:p>
          <w:p>
            <w:pPr>
              <w:spacing w:line="360" w:lineRule="auto"/>
              <w:rPr>
                <w:color w:val="auto"/>
              </w:rPr>
            </w:pPr>
            <w:r>
              <w:rPr>
                <w:rFonts w:hint="eastAsia"/>
                <w:color w:val="auto"/>
              </w:rPr>
              <w:t>5.1.1</w:t>
            </w:r>
          </w:p>
          <w:p>
            <w:pPr>
              <w:spacing w:line="360" w:lineRule="auto"/>
              <w:rPr>
                <w:color w:val="auto"/>
              </w:rPr>
            </w:pP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公司负责人说主要承诺有：</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组织识别和确定相关方（特别是顾客）的需求和期望，并采取措施达到顾客满意。</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对建立、实施质量、环境、职业健康安全管理体系并持续改进其有效性所做出的承诺提供证据；</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确保制定质量、环境、职业健康安全管理体系的方针和目标</w:t>
            </w:r>
            <w:r>
              <w:rPr>
                <w:rFonts w:ascii="宋体" w:hAnsi="宋体"/>
                <w:color w:val="auto"/>
                <w:sz w:val="21"/>
                <w:szCs w:val="21"/>
              </w:rPr>
              <w:t>,</w:t>
            </w:r>
            <w:r>
              <w:rPr>
                <w:rFonts w:hint="eastAsia" w:ascii="宋体" w:hAnsi="宋体"/>
                <w:color w:val="auto"/>
                <w:sz w:val="21"/>
                <w:szCs w:val="21"/>
              </w:rPr>
              <w:t>并与组织环境和战略方向相一致；</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为质量、环境、职业健康安全管理体系的有效运行确定资源需求，并提供充分的资源；</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按期主持管理评审，确保本公司质量、环境、职业健康安全管理体系的适宜性、有效性和持续改进；</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负责本公司全面管理，有权对一切事务的处理进行最终决策。</w:t>
            </w:r>
          </w:p>
          <w:p>
            <w:pPr>
              <w:spacing w:line="360" w:lineRule="auto"/>
              <w:ind w:firstLine="570"/>
              <w:rPr>
                <w:rFonts w:ascii="宋体" w:hAnsi="宋体" w:cs="宋体"/>
                <w:color w:val="auto"/>
                <w:sz w:val="21"/>
                <w:szCs w:val="21"/>
              </w:rPr>
            </w:pPr>
            <w:r>
              <w:rPr>
                <w:rFonts w:hint="eastAsia" w:ascii="宋体" w:hAnsi="宋体" w:cs="宋体"/>
                <w:color w:val="auto"/>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行政人事部</w:t>
            </w:r>
            <w:r>
              <w:rPr>
                <w:rFonts w:hint="eastAsia" w:ascii="宋体" w:hAnsi="宋体" w:cs="宋体"/>
                <w:szCs w:val="21"/>
              </w:rPr>
              <w:t>编制适用的与</w:t>
            </w:r>
            <w:r>
              <w:rPr>
                <w:rFonts w:hint="eastAsia" w:ascii="宋体" w:hAnsi="宋体" w:cs="宋体"/>
                <w:szCs w:val="21"/>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质量方针是：质量第一    精益求精    顾客至上    持续改进</w:t>
            </w:r>
          </w:p>
          <w:p>
            <w:pPr>
              <w:spacing w:line="360" w:lineRule="auto"/>
              <w:ind w:firstLine="420" w:firstLineChars="200"/>
              <w:rPr>
                <w:rFonts w:hint="eastAsia" w:ascii="宋体" w:hAnsi="宋体" w:cs="宋体"/>
                <w:szCs w:val="21"/>
              </w:rPr>
            </w:pPr>
            <w:r>
              <w:rPr>
                <w:rFonts w:hint="eastAsia" w:ascii="宋体" w:hAnsi="宋体" w:cs="宋体"/>
                <w:szCs w:val="21"/>
              </w:rPr>
              <w:t>环境方针是：全员参与　　遵守法规　　预防为主　　持续改进</w:t>
            </w:r>
          </w:p>
          <w:p>
            <w:pPr>
              <w:spacing w:line="360" w:lineRule="auto"/>
              <w:ind w:firstLine="420" w:firstLineChars="200"/>
              <w:rPr>
                <w:rFonts w:hint="eastAsia" w:ascii="宋体" w:hAnsi="宋体" w:cs="宋体"/>
                <w:szCs w:val="21"/>
              </w:rPr>
            </w:pPr>
            <w:r>
              <w:rPr>
                <w:rFonts w:hint="eastAsia" w:ascii="宋体" w:hAnsi="宋体" w:cs="宋体"/>
                <w:szCs w:val="21"/>
              </w:rPr>
              <w:t>职业健康安全方针是：安全第一    预防为主    遵守法规    确保安康。</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行政人事部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行政人事部、生产部、采购部、营销中心、技术质量部、财务部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范冬梅</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易秀珍</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易秀珍</w:t>
            </w:r>
            <w:r>
              <w:rPr>
                <w:rFonts w:hint="eastAsia" w:ascii="宋体" w:hAnsi="宋体" w:cs="宋体"/>
                <w:szCs w:val="21"/>
              </w:rPr>
              <w:t>和职业健康安全事务代表</w:t>
            </w:r>
            <w:r>
              <w:rPr>
                <w:rFonts w:hint="eastAsia" w:ascii="宋体" w:hAnsi="宋体" w:cs="宋体"/>
                <w:szCs w:val="21"/>
                <w:lang w:val="en-US" w:eastAsia="zh-CN"/>
              </w:rPr>
              <w:t>范冬梅</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范冬梅</w:t>
            </w:r>
            <w:r>
              <w:rPr>
                <w:rFonts w:hint="eastAsia" w:ascii="宋体" w:hAnsi="宋体" w:cs="宋体"/>
                <w:szCs w:val="21"/>
              </w:rPr>
              <w:t>，公司对履行事务代表</w:t>
            </w:r>
            <w:bookmarkStart w:id="1" w:name="_GoBack"/>
            <w:bookmarkEnd w:id="1"/>
            <w:r>
              <w:rPr>
                <w:rFonts w:hint="eastAsia" w:ascii="宋体" w:hAnsi="宋体" w:cs="宋体"/>
                <w:szCs w:val="21"/>
              </w:rPr>
              <w:t>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pStyle w:val="2"/>
              <w:rPr>
                <w:rFonts w:hint="eastAsia" w:eastAsia="宋体"/>
                <w:lang w:val="en-US" w:eastAsia="zh-CN"/>
              </w:rPr>
            </w:pPr>
            <w:r>
              <w:rPr>
                <w:rFonts w:hint="eastAsia" w:ascii="Times New Roman" w:hAnsi="Times New Roman" w:eastAsia="宋体" w:cs="Times New Roman"/>
                <w:szCs w:val="22"/>
                <w:lang w:val="en-US" w:eastAsia="zh-CN"/>
              </w:rPr>
              <w:t>目标：</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质量目标</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1顾客满意率92%以上，每年提高，三年内达95%；</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2合同履约率100%，客户投诉处理率100%；</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3产品一次性交验合格率≥98%；</w:t>
            </w:r>
          </w:p>
          <w:p>
            <w:pPr>
              <w:snapToGrid w:val="0"/>
              <w:spacing w:line="360" w:lineRule="auto"/>
              <w:rPr>
                <w:rFonts w:hint="eastAsia" w:ascii="Times New Roman" w:hAnsi="Times New Roman" w:eastAsia="宋体" w:cs="Times New Roman"/>
                <w:szCs w:val="22"/>
              </w:rPr>
            </w:pP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环境目标指标</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1控制固体废弃物污染</w:t>
            </w:r>
            <w:r>
              <w:rPr>
                <w:rFonts w:hint="eastAsia" w:ascii="Times New Roman" w:hAnsi="Times New Roman" w:eastAsia="宋体" w:cs="Times New Roman"/>
                <w:szCs w:val="22"/>
              </w:rPr>
              <w:tab/>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①有毒有害固体废弃物收集处理率达到100%；</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②无毒无害固体废弃物收集处理率≥95%；</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 控制污水污染</w:t>
            </w:r>
            <w:r>
              <w:rPr>
                <w:rFonts w:hint="eastAsia" w:ascii="Times New Roman" w:hAnsi="Times New Roman" w:eastAsia="宋体" w:cs="Times New Roman"/>
                <w:szCs w:val="22"/>
              </w:rPr>
              <w:tab/>
            </w:r>
            <w:r>
              <w:rPr>
                <w:rFonts w:hint="eastAsia" w:ascii="Times New Roman" w:hAnsi="Times New Roman" w:eastAsia="宋体" w:cs="Times New Roman"/>
                <w:szCs w:val="22"/>
              </w:rPr>
              <w:t>生产、生活污水处理排放率100%；</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3控制噪声扰民</w:t>
            </w:r>
            <w:r>
              <w:rPr>
                <w:rFonts w:hint="eastAsia" w:ascii="Times New Roman" w:hAnsi="Times New Roman" w:eastAsia="宋体" w:cs="Times New Roman"/>
                <w:szCs w:val="22"/>
              </w:rPr>
              <w:tab/>
            </w:r>
            <w:r>
              <w:rPr>
                <w:rFonts w:hint="eastAsia" w:ascii="Times New Roman" w:hAnsi="Times New Roman" w:eastAsia="宋体" w:cs="Times New Roman"/>
                <w:szCs w:val="22"/>
              </w:rPr>
              <w:t>噪声扰民投诉为零；</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4控制粉尘污染</w:t>
            </w:r>
            <w:r>
              <w:rPr>
                <w:rFonts w:hint="eastAsia" w:ascii="Times New Roman" w:hAnsi="Times New Roman" w:eastAsia="宋体" w:cs="Times New Roman"/>
                <w:szCs w:val="22"/>
              </w:rPr>
              <w:tab/>
            </w:r>
            <w:r>
              <w:rPr>
                <w:rFonts w:hint="eastAsia" w:ascii="Times New Roman" w:hAnsi="Times New Roman" w:eastAsia="宋体" w:cs="Times New Roman"/>
                <w:szCs w:val="22"/>
              </w:rPr>
              <w:t>生产现场目视无粉尘；</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5 节能降耗</w:t>
            </w:r>
            <w:r>
              <w:rPr>
                <w:rFonts w:hint="eastAsia" w:ascii="Times New Roman" w:hAnsi="Times New Roman" w:eastAsia="宋体" w:cs="Times New Roman"/>
                <w:szCs w:val="22"/>
              </w:rPr>
              <w:tab/>
            </w:r>
            <w:r>
              <w:rPr>
                <w:rFonts w:hint="eastAsia" w:ascii="Times New Roman" w:hAnsi="Times New Roman" w:eastAsia="宋体" w:cs="Times New Roman"/>
                <w:szCs w:val="22"/>
              </w:rPr>
              <w:t>用水，用电比预算节约1.5%以上；</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生产现场材料有效利用率≥95%；</w:t>
            </w:r>
          </w:p>
          <w:p>
            <w:pPr>
              <w:snapToGrid w:val="0"/>
              <w:spacing w:line="360" w:lineRule="auto"/>
              <w:rPr>
                <w:rFonts w:hint="eastAsia" w:ascii="Times New Roman" w:hAnsi="Times New Roman" w:eastAsia="宋体" w:cs="Times New Roman"/>
                <w:szCs w:val="22"/>
              </w:rPr>
            </w:pP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职业健康安全目标指标</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1预防伤亡事故的发生；</w:t>
            </w:r>
            <w:r>
              <w:rPr>
                <w:rFonts w:hint="eastAsia" w:ascii="Times New Roman" w:hAnsi="Times New Roman" w:eastAsia="宋体" w:cs="Times New Roman"/>
                <w:szCs w:val="22"/>
              </w:rPr>
              <w:tab/>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①年度重大伤害事故为零；</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②年度轻伤事故频率≤0.3%；</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2预防职业病发生</w:t>
            </w:r>
            <w:r>
              <w:rPr>
                <w:rFonts w:hint="eastAsia" w:ascii="Times New Roman" w:hAnsi="Times New Roman" w:eastAsia="宋体" w:cs="Times New Roman"/>
                <w:szCs w:val="22"/>
              </w:rPr>
              <w:tab/>
            </w:r>
            <w:r>
              <w:rPr>
                <w:rFonts w:hint="eastAsia" w:ascii="Times New Roman" w:hAnsi="Times New Roman" w:eastAsia="宋体" w:cs="Times New Roman"/>
                <w:szCs w:val="22"/>
              </w:rPr>
              <w:t>职业病控制年度为零；</w:t>
            </w:r>
          </w:p>
          <w:p>
            <w:pPr>
              <w:snapToGrid w:val="0"/>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3 预防火灾 爆炸事故发生</w:t>
            </w:r>
            <w:r>
              <w:rPr>
                <w:rFonts w:hint="eastAsia" w:ascii="Times New Roman" w:hAnsi="Times New Roman" w:eastAsia="宋体" w:cs="Times New Roman"/>
                <w:szCs w:val="22"/>
              </w:rPr>
              <w:tab/>
            </w:r>
            <w:r>
              <w:rPr>
                <w:rFonts w:hint="eastAsia" w:ascii="Times New Roman" w:hAnsi="Times New Roman" w:eastAsia="宋体" w:cs="Times New Roman"/>
                <w:szCs w:val="22"/>
              </w:rPr>
              <w:t>全年火灾 爆炸事故为0。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行政人事部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ascii="宋体" w:hAnsi="宋体" w:cs="宋体"/>
                <w:szCs w:val="21"/>
                <w:lang w:eastAsia="zh-CN"/>
              </w:rPr>
              <w:t>行政人事部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2020年</w:t>
            </w:r>
            <w:r>
              <w:rPr>
                <w:rFonts w:hint="eastAsia" w:ascii="宋体" w:hAnsi="宋体" w:cs="宋体"/>
                <w:szCs w:val="21"/>
                <w:lang w:val="en-US" w:eastAsia="zh-CN"/>
              </w:rPr>
              <w:t>5</w:t>
            </w:r>
            <w:r>
              <w:rPr>
                <w:rFonts w:hint="eastAsia" w:ascii="宋体" w:hAnsi="宋体" w:cs="宋体"/>
                <w:szCs w:val="21"/>
                <w:lang w:eastAsia="zh-CN"/>
              </w:rPr>
              <w:t>月1</w:t>
            </w:r>
            <w:r>
              <w:rPr>
                <w:rFonts w:hint="eastAsia" w:ascii="宋体" w:hAnsi="宋体" w:cs="宋体"/>
                <w:szCs w:val="21"/>
                <w:lang w:val="en-US" w:eastAsia="zh-CN"/>
              </w:rPr>
              <w:t>0</w:t>
            </w:r>
            <w:r>
              <w:rPr>
                <w:rFonts w:hint="eastAsia" w:ascii="宋体" w:hAnsi="宋体" w:cs="宋体"/>
                <w:szCs w:val="21"/>
                <w:lang w:eastAsia="zh-CN"/>
              </w:rPr>
              <w:t>日</w:t>
            </w:r>
            <w:r>
              <w:rPr>
                <w:rFonts w:hint="eastAsia" w:ascii="宋体" w:hAnsi="宋体" w:cs="宋体"/>
                <w:szCs w:val="21"/>
              </w:rPr>
              <w:t>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63</w:t>
            </w:r>
            <w:r>
              <w:rPr>
                <w:rFonts w:hint="eastAsia"/>
                <w:szCs w:val="21"/>
              </w:rPr>
              <w:t>人，具备</w:t>
            </w:r>
            <w:r>
              <w:rPr>
                <w:rFonts w:hint="eastAsia"/>
                <w:sz w:val="20"/>
                <w:lang w:eastAsia="zh-CN"/>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rFonts w:hint="eastAsia"/>
                <w:szCs w:val="21"/>
              </w:rPr>
              <w:t>能力，</w:t>
            </w:r>
            <w:r>
              <w:rPr>
                <w:rFonts w:hint="eastAsia"/>
                <w:szCs w:val="21"/>
                <w:lang w:val="en-US" w:eastAsia="zh-CN"/>
              </w:rPr>
              <w:t>厂房和办公区</w:t>
            </w:r>
            <w:r>
              <w:rPr>
                <w:rFonts w:hint="eastAsia"/>
                <w:szCs w:val="21"/>
              </w:rPr>
              <w:t>占地面积约</w:t>
            </w:r>
            <w:r>
              <w:rPr>
                <w:rFonts w:hint="eastAsia"/>
                <w:color w:val="auto"/>
                <w:szCs w:val="21"/>
                <w:lang w:val="en-US" w:eastAsia="zh-CN"/>
              </w:rPr>
              <w:t>13720</w:t>
            </w:r>
            <w:r>
              <w:rPr>
                <w:rFonts w:hint="eastAsia"/>
                <w:color w:val="auto"/>
                <w:szCs w:val="21"/>
              </w:rPr>
              <w:t>平方米</w:t>
            </w:r>
            <w:r>
              <w:rPr>
                <w:rFonts w:hint="eastAsia"/>
                <w:color w:val="auto"/>
                <w:szCs w:val="21"/>
                <w:lang w:eastAsia="zh-CN"/>
              </w:rPr>
              <w:t>，</w:t>
            </w:r>
            <w:r>
              <w:rPr>
                <w:rFonts w:hint="eastAsia"/>
                <w:color w:val="auto"/>
                <w:szCs w:val="21"/>
              </w:rPr>
              <w:t>从现场观察：过程运行环境较好（可详见相关条款审核记录）、据介绍：公司</w:t>
            </w:r>
            <w:r>
              <w:rPr>
                <w:rFonts w:hint="eastAsia"/>
                <w:szCs w:val="21"/>
              </w:rPr>
              <w:t>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行政人事部易秀珍</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行政人事部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日进行，初审无间隔要求，评审方式：会议评审，编制：</w:t>
            </w:r>
            <w:r>
              <w:rPr>
                <w:rFonts w:hint="eastAsia" w:ascii="宋体" w:hAnsi="宋体" w:cs="宋体"/>
                <w:szCs w:val="21"/>
                <w:lang w:val="en-US" w:eastAsia="zh-CN"/>
              </w:rPr>
              <w:t>易秀珍</w:t>
            </w:r>
            <w:r>
              <w:rPr>
                <w:rFonts w:hint="eastAsia" w:ascii="宋体" w:hAnsi="宋体" w:cs="宋体"/>
                <w:szCs w:val="21"/>
              </w:rPr>
              <w:t xml:space="preserve">  批准：</w:t>
            </w:r>
            <w:r>
              <w:rPr>
                <w:rFonts w:hint="eastAsia" w:ascii="宋体" w:hAnsi="宋体" w:cs="宋体"/>
                <w:szCs w:val="21"/>
                <w:lang w:val="en-US" w:eastAsia="zh-CN"/>
              </w:rPr>
              <w:t>彭宏</w:t>
            </w:r>
            <w:r>
              <w:rPr>
                <w:rFonts w:hint="eastAsia" w:ascii="宋体" w:hAnsi="宋体" w:cs="宋体"/>
                <w:szCs w:val="21"/>
              </w:rPr>
              <w:t>，现场沟通。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hint="eastAsia" w:ascii="宋体" w:hAnsi="宋体" w:cs="宋体"/>
                <w:szCs w:val="21"/>
              </w:rPr>
            </w:pPr>
            <w:r>
              <w:rPr>
                <w:rFonts w:hint="eastAsia" w:ascii="宋体" w:hAnsi="宋体" w:cs="宋体"/>
                <w:szCs w:val="21"/>
              </w:rPr>
              <w:t>1、公司的管理体系文件适用，具有指导性、可操作性，能满足公司的管理要求，公司管理体系运行正常、有效。</w:t>
            </w:r>
          </w:p>
          <w:p>
            <w:pPr>
              <w:spacing w:line="360" w:lineRule="auto"/>
              <w:rPr>
                <w:rFonts w:hint="eastAsia" w:ascii="宋体" w:hAnsi="宋体" w:cs="宋体"/>
                <w:szCs w:val="21"/>
              </w:rPr>
            </w:pPr>
            <w:r>
              <w:rPr>
                <w:rFonts w:hint="eastAsia" w:ascii="宋体" w:hAnsi="宋体" w:cs="宋体"/>
                <w:szCs w:val="21"/>
              </w:rPr>
              <w:t xml:space="preserve">2、公司的管理方针、管理目标适宜、充分、有效。 </w:t>
            </w:r>
          </w:p>
          <w:p>
            <w:pPr>
              <w:spacing w:line="360" w:lineRule="auto"/>
              <w:rPr>
                <w:rFonts w:hint="eastAsia" w:ascii="宋体" w:hAnsi="宋体" w:cs="宋体"/>
                <w:szCs w:val="21"/>
              </w:rPr>
            </w:pPr>
            <w:r>
              <w:rPr>
                <w:rFonts w:hint="eastAsia" w:ascii="宋体" w:hAnsi="宋体" w:cs="宋体"/>
                <w:szCs w:val="21"/>
              </w:rPr>
              <w:t>3、公司环境管理和职业健康安全管理符合有关法律法规及其它要求的规定。</w:t>
            </w:r>
          </w:p>
          <w:p>
            <w:pPr>
              <w:spacing w:line="360" w:lineRule="auto"/>
              <w:rPr>
                <w:rFonts w:hint="eastAsia" w:ascii="宋体" w:hAnsi="宋体" w:cs="宋体"/>
                <w:szCs w:val="21"/>
              </w:rPr>
            </w:pPr>
            <w:r>
              <w:rPr>
                <w:rFonts w:hint="eastAsia" w:ascii="宋体" w:hAnsi="宋体" w:cs="宋体"/>
                <w:szCs w:val="21"/>
              </w:rPr>
              <w:t>4、应对风险和机遇所采取措施的效性。</w:t>
            </w:r>
          </w:p>
          <w:p>
            <w:pPr>
              <w:spacing w:line="360" w:lineRule="auto"/>
              <w:rPr>
                <w:rFonts w:hint="eastAsia" w:ascii="宋体" w:hAnsi="宋体" w:cs="宋体"/>
                <w:szCs w:val="21"/>
              </w:rPr>
            </w:pPr>
            <w:r>
              <w:rPr>
                <w:rFonts w:hint="eastAsia" w:ascii="宋体" w:hAnsi="宋体" w:cs="宋体"/>
                <w:szCs w:val="21"/>
              </w:rPr>
              <w:t xml:space="preserve">管理评审决定与措施： </w:t>
            </w:r>
          </w:p>
          <w:p>
            <w:pPr>
              <w:spacing w:line="360" w:lineRule="auto"/>
              <w:rPr>
                <w:rFonts w:hint="eastAsia" w:ascii="宋体" w:hAnsi="宋体" w:cs="宋体"/>
                <w:szCs w:val="21"/>
              </w:rPr>
            </w:pPr>
            <w:r>
              <w:rPr>
                <w:rFonts w:hint="eastAsia" w:ascii="宋体" w:hAnsi="宋体" w:cs="宋体"/>
                <w:szCs w:val="21"/>
              </w:rPr>
              <w:t>积极开拓新的市场。</w:t>
            </w:r>
          </w:p>
          <w:p>
            <w:pPr>
              <w:spacing w:line="360" w:lineRule="auto"/>
              <w:rPr>
                <w:rFonts w:hint="eastAsia" w:ascii="宋体" w:hAnsi="宋体" w:cs="宋体"/>
                <w:szCs w:val="21"/>
              </w:rPr>
            </w:pPr>
            <w:r>
              <w:rPr>
                <w:rFonts w:hint="eastAsia" w:ascii="宋体" w:hAnsi="宋体" w:cs="宋体"/>
                <w:szCs w:val="21"/>
              </w:rPr>
              <w:t>加强对各部门人员管理体系文件的培训。</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管理评审的实施，查有：“管理评审会议记录”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日召开，有总经理主持会议，共有</w:t>
            </w:r>
            <w:r>
              <w:rPr>
                <w:rFonts w:hint="eastAsia" w:ascii="宋体" w:hAnsi="宋体" w:cs="宋体"/>
                <w:szCs w:val="21"/>
                <w:lang w:val="en-US" w:eastAsia="zh-CN"/>
              </w:rPr>
              <w:t>8</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行政人事部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w:t>
            </w:r>
            <w:r>
              <w:rPr>
                <w:rFonts w:hint="eastAsia" w:ascii="宋体" w:hAnsi="宋体" w:cs="宋体"/>
                <w:szCs w:val="21"/>
                <w:lang w:eastAsia="zh-CN"/>
              </w:rPr>
              <w:t>技术质量部</w:t>
            </w:r>
            <w:r>
              <w:rPr>
                <w:rFonts w:hint="eastAsia" w:ascii="宋体" w:hAnsi="宋体" w:cs="宋体"/>
                <w:szCs w:val="21"/>
              </w:rPr>
              <w:t>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hint="eastAsia"/>
              </w:rPr>
            </w:pPr>
            <w:r>
              <w:rPr>
                <w:rFonts w:hint="eastAsia"/>
                <w:lang w:val="en-US" w:eastAsia="zh-CN"/>
              </w:rPr>
              <w:t>与管理者代表沟通，成都市崇州区地方环保局、应急管理局不定期抽查公司的环保、安全方面的执行情况，未发生过不符合情况</w:t>
            </w:r>
            <w:r>
              <w:rPr>
                <w:rFonts w:hint="eastAsia"/>
              </w:rPr>
              <w:t>。</w:t>
            </w:r>
          </w:p>
          <w:p>
            <w:pPr>
              <w:pStyle w:val="2"/>
              <w:spacing w:line="360" w:lineRule="auto"/>
              <w:rPr>
                <w:rFonts w:hint="eastAsia" w:ascii="宋体" w:hAnsi="宋体" w:cs="宋体"/>
                <w:szCs w:val="21"/>
                <w:lang w:val="en-US" w:eastAsia="zh-CN"/>
              </w:rPr>
            </w:pPr>
            <w:r>
              <w:rPr>
                <w:rFonts w:hint="eastAsia" w:ascii="宋体" w:hAnsi="宋体" w:cs="宋体"/>
                <w:szCs w:val="21"/>
                <w:lang w:val="en-US" w:eastAsia="zh-CN"/>
              </w:rPr>
              <w:t>企业每年会受到国家、省级、地方质检部门的不定期抽查。</w:t>
            </w:r>
          </w:p>
          <w:p>
            <w:pPr>
              <w:pStyle w:val="2"/>
              <w:spacing w:line="360" w:lineRule="auto"/>
              <w:rPr>
                <w:rFonts w:hint="eastAsia" w:ascii="宋体" w:hAnsi="宋体" w:cs="宋体"/>
                <w:szCs w:val="21"/>
                <w:lang w:val="en-US" w:eastAsia="zh-CN"/>
              </w:rPr>
            </w:pPr>
            <w:r>
              <w:rPr>
                <w:rFonts w:hint="eastAsia" w:ascii="宋体" w:hAnsi="宋体" w:cs="宋体"/>
                <w:szCs w:val="21"/>
                <w:lang w:val="en-US" w:eastAsia="zh-CN"/>
              </w:rPr>
              <w:t>提供了近期由四川省市场监督管理局对企业产品大班台的《检验检测报告》，报告书编号：AQJA321Z00073，检验类别：2021年 第一批 省级监督抽查。提供的《产品质量监督抽查检验结论告知书》（2021年001872），检验结论为：合格。检测报告见附件。</w:t>
            </w: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r>
              <w:drawing>
                <wp:anchor distT="0" distB="0" distL="114300" distR="114300" simplePos="0" relativeHeight="251660288" behindDoc="0" locked="0" layoutInCell="1" allowOverlap="1">
                  <wp:simplePos x="0" y="0"/>
                  <wp:positionH relativeFrom="column">
                    <wp:posOffset>3244850</wp:posOffset>
                  </wp:positionH>
                  <wp:positionV relativeFrom="paragraph">
                    <wp:posOffset>53340</wp:posOffset>
                  </wp:positionV>
                  <wp:extent cx="1949450" cy="2647315"/>
                  <wp:effectExtent l="0" t="0" r="6350"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949450" cy="264731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990600</wp:posOffset>
                  </wp:positionH>
                  <wp:positionV relativeFrom="paragraph">
                    <wp:posOffset>46990</wp:posOffset>
                  </wp:positionV>
                  <wp:extent cx="1949450" cy="2650490"/>
                  <wp:effectExtent l="0" t="0" r="635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49450" cy="2650490"/>
                          </a:xfrm>
                          <a:prstGeom prst="rect">
                            <a:avLst/>
                          </a:prstGeom>
                          <a:noFill/>
                          <a:ln>
                            <a:noFill/>
                          </a:ln>
                        </pic:spPr>
                      </pic:pic>
                    </a:graphicData>
                  </a:graphic>
                </wp:anchor>
              </w:drawing>
            </w: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eastAsia" w:ascii="宋体" w:hAnsi="宋体" w:cs="宋体"/>
                <w:szCs w:val="21"/>
                <w:lang w:val="en-US" w:eastAsia="zh-CN"/>
              </w:rPr>
            </w:pPr>
          </w:p>
          <w:p>
            <w:pPr>
              <w:pStyle w:val="2"/>
              <w:spacing w:line="360" w:lineRule="auto"/>
              <w:rPr>
                <w:rFonts w:hint="default" w:ascii="宋体" w:hAnsi="宋体" w:cs="宋体"/>
                <w:szCs w:val="21"/>
                <w:lang w:val="en-US" w:eastAsia="zh-CN"/>
              </w:rPr>
            </w:pP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0FA7D7F"/>
    <w:rsid w:val="04F747EF"/>
    <w:rsid w:val="053E259F"/>
    <w:rsid w:val="07713FF2"/>
    <w:rsid w:val="0859445B"/>
    <w:rsid w:val="087E2C00"/>
    <w:rsid w:val="0D490622"/>
    <w:rsid w:val="0E523E2A"/>
    <w:rsid w:val="0F512761"/>
    <w:rsid w:val="0FCC2040"/>
    <w:rsid w:val="10363DE7"/>
    <w:rsid w:val="10670D7E"/>
    <w:rsid w:val="10B22BD6"/>
    <w:rsid w:val="1167590B"/>
    <w:rsid w:val="141005E1"/>
    <w:rsid w:val="14166CAA"/>
    <w:rsid w:val="15112004"/>
    <w:rsid w:val="151804A0"/>
    <w:rsid w:val="18817E6B"/>
    <w:rsid w:val="18A66DC9"/>
    <w:rsid w:val="195309DA"/>
    <w:rsid w:val="1B5C56DB"/>
    <w:rsid w:val="1B7E266E"/>
    <w:rsid w:val="1BC6441B"/>
    <w:rsid w:val="1C193BF6"/>
    <w:rsid w:val="1FB82F87"/>
    <w:rsid w:val="20E0393D"/>
    <w:rsid w:val="213C2ECE"/>
    <w:rsid w:val="221D572D"/>
    <w:rsid w:val="22540199"/>
    <w:rsid w:val="24062BA4"/>
    <w:rsid w:val="255C1C57"/>
    <w:rsid w:val="28035E48"/>
    <w:rsid w:val="2A6E6D8C"/>
    <w:rsid w:val="2B4A6EE5"/>
    <w:rsid w:val="2B606FC9"/>
    <w:rsid w:val="2BB8135F"/>
    <w:rsid w:val="2CBC054B"/>
    <w:rsid w:val="2D303E88"/>
    <w:rsid w:val="2E3F655A"/>
    <w:rsid w:val="2E60181F"/>
    <w:rsid w:val="2E781A2F"/>
    <w:rsid w:val="2F826DBA"/>
    <w:rsid w:val="30AC7027"/>
    <w:rsid w:val="315F6EF0"/>
    <w:rsid w:val="32030C6C"/>
    <w:rsid w:val="3BAC6214"/>
    <w:rsid w:val="3FB020F6"/>
    <w:rsid w:val="40A160DE"/>
    <w:rsid w:val="42016B6E"/>
    <w:rsid w:val="46E82D65"/>
    <w:rsid w:val="49673219"/>
    <w:rsid w:val="49E66732"/>
    <w:rsid w:val="4AA14C14"/>
    <w:rsid w:val="4C931D3C"/>
    <w:rsid w:val="4EAC2CD2"/>
    <w:rsid w:val="4EF214B3"/>
    <w:rsid w:val="504B11EE"/>
    <w:rsid w:val="51F21ABD"/>
    <w:rsid w:val="53750661"/>
    <w:rsid w:val="538C1FC7"/>
    <w:rsid w:val="568F49F9"/>
    <w:rsid w:val="58E67D9D"/>
    <w:rsid w:val="59111666"/>
    <w:rsid w:val="59FA6B63"/>
    <w:rsid w:val="5A3A4A51"/>
    <w:rsid w:val="5FC82583"/>
    <w:rsid w:val="60BB5207"/>
    <w:rsid w:val="60F3236F"/>
    <w:rsid w:val="610D7A9C"/>
    <w:rsid w:val="611A103E"/>
    <w:rsid w:val="62AC3D93"/>
    <w:rsid w:val="63FA332B"/>
    <w:rsid w:val="64054BEE"/>
    <w:rsid w:val="69614E77"/>
    <w:rsid w:val="69C872C7"/>
    <w:rsid w:val="6C277CFE"/>
    <w:rsid w:val="6C833AFB"/>
    <w:rsid w:val="719E63AA"/>
    <w:rsid w:val="71CD5108"/>
    <w:rsid w:val="73A56221"/>
    <w:rsid w:val="755A2C69"/>
    <w:rsid w:val="7757359D"/>
    <w:rsid w:val="79D9280D"/>
    <w:rsid w:val="7CDB6ACF"/>
    <w:rsid w:val="7E4C0868"/>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 w:type="paragraph" w:customStyle="1" w:styleId="16">
    <w:name w:val="列出段落3"/>
    <w:basedOn w:val="1"/>
    <w:unhideWhenUsed/>
    <w:qFormat/>
    <w:uiPriority w:val="99"/>
    <w:pPr>
      <w:ind w:firstLine="420" w:firstLineChars="200"/>
    </w:pPr>
  </w:style>
  <w:style w:type="character" w:customStyle="1" w:styleId="1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20</TotalTime>
  <ScaleCrop>false</ScaleCrop>
  <LinksUpToDate>false</LinksUpToDate>
  <CharactersWithSpaces>9374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2021-04-13T13:56:07Z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D34BD1A9548C42CBBE4EF6B5E687ABF9</vt:lpwstr>
  </property>
</Properties>
</file>