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河北佰畅物业服务有限公司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"/>
            <w:r>
              <w:rPr>
                <w:rFonts w:hint="eastAsia"/>
                <w:b/>
                <w:szCs w:val="21"/>
              </w:rPr>
              <w:t>Q:监查1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E:监查</w:t>
            </w:r>
            <w:r>
              <w:rPr>
                <w:rFonts w:hint="eastAsia"/>
                <w:b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szCs w:val="21"/>
              </w:rPr>
              <w:t>O:监查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,</w:t>
            </w:r>
            <w:bookmarkEnd w:id="4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内审的有效性需得到重视和提升内审员的技能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爱尔眼科合同评审的相关证实保留不充分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CF2380"/>
    <w:rsid w:val="17AE377B"/>
    <w:rsid w:val="209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thinkpad</cp:lastModifiedBy>
  <dcterms:modified xsi:type="dcterms:W3CDTF">2021-04-16T08:39:40Z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C3E6F098B87B468082ECE74EEF0D3CA8</vt:lpwstr>
  </property>
</Properties>
</file>