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color w:val="auto"/>
                <w:sz w:val="24"/>
                <w:szCs w:val="24"/>
              </w:rPr>
            </w:pPr>
            <w:r>
              <w:rPr>
                <w:rFonts w:hint="eastAsia" w:ascii="宋体" w:hAnsi="宋体" w:cs="宋体"/>
                <w:color w:val="auto"/>
                <w:sz w:val="24"/>
                <w:szCs w:val="24"/>
              </w:rPr>
              <w:t>过程与活动、</w:t>
            </w:r>
          </w:p>
          <w:p>
            <w:pPr>
              <w:spacing w:line="320" w:lineRule="exact"/>
              <w:jc w:val="center"/>
              <w:rPr>
                <w:rFonts w:ascii="宋体" w:hAnsi="宋体" w:cs="宋体"/>
                <w:color w:val="auto"/>
                <w:sz w:val="24"/>
                <w:szCs w:val="24"/>
              </w:rPr>
            </w:pPr>
            <w:r>
              <w:rPr>
                <w:rFonts w:hint="eastAsia" w:ascii="宋体" w:hAnsi="宋体" w:cs="宋体"/>
                <w:color w:val="auto"/>
                <w:sz w:val="24"/>
                <w:szCs w:val="24"/>
              </w:rPr>
              <w:t>抽样计划</w:t>
            </w:r>
          </w:p>
        </w:tc>
        <w:tc>
          <w:tcPr>
            <w:tcW w:w="1019" w:type="dxa"/>
            <w:vMerge w:val="restart"/>
            <w:vAlign w:val="center"/>
          </w:tcPr>
          <w:p>
            <w:pPr>
              <w:spacing w:line="320" w:lineRule="exact"/>
              <w:rPr>
                <w:rFonts w:ascii="宋体" w:hAnsi="宋体" w:cs="宋体"/>
                <w:color w:val="auto"/>
                <w:sz w:val="24"/>
                <w:szCs w:val="24"/>
              </w:rPr>
            </w:pPr>
            <w:r>
              <w:rPr>
                <w:rFonts w:hint="eastAsia" w:ascii="宋体" w:hAnsi="宋体" w:cs="宋体"/>
                <w:color w:val="auto"/>
                <w:sz w:val="24"/>
                <w:szCs w:val="24"/>
              </w:rPr>
              <w:t>涉及</w:t>
            </w:r>
          </w:p>
          <w:p>
            <w:pPr>
              <w:spacing w:line="320" w:lineRule="exact"/>
              <w:rPr>
                <w:rFonts w:ascii="宋体" w:hAnsi="宋体" w:cs="宋体"/>
                <w:color w:val="auto"/>
                <w:sz w:val="24"/>
                <w:szCs w:val="24"/>
              </w:rPr>
            </w:pPr>
            <w:r>
              <w:rPr>
                <w:rFonts w:hint="eastAsia" w:ascii="宋体" w:hAnsi="宋体" w:cs="宋体"/>
                <w:color w:val="auto"/>
                <w:sz w:val="24"/>
                <w:szCs w:val="24"/>
              </w:rPr>
              <w:t>条款</w:t>
            </w:r>
          </w:p>
        </w:tc>
        <w:tc>
          <w:tcPr>
            <w:tcW w:w="11223" w:type="dxa"/>
            <w:vAlign w:val="center"/>
          </w:tcPr>
          <w:p>
            <w:pPr>
              <w:spacing w:line="320" w:lineRule="exact"/>
              <w:rPr>
                <w:rFonts w:ascii="宋体" w:hAnsi="宋体" w:cs="宋体"/>
                <w:color w:val="auto"/>
                <w:sz w:val="24"/>
                <w:szCs w:val="24"/>
              </w:rPr>
            </w:pPr>
            <w:r>
              <w:rPr>
                <w:rFonts w:hint="eastAsia" w:ascii="宋体" w:hAnsi="宋体" w:cs="宋体"/>
                <w:color w:val="auto"/>
                <w:sz w:val="24"/>
                <w:szCs w:val="24"/>
              </w:rPr>
              <w:t>受审核部门：</w:t>
            </w:r>
            <w:r>
              <w:rPr>
                <w:rFonts w:hint="eastAsia" w:ascii="宋体" w:hAnsi="宋体" w:cs="宋体"/>
                <w:b/>
                <w:bCs/>
                <w:color w:val="auto"/>
                <w:sz w:val="24"/>
                <w:szCs w:val="24"/>
              </w:rPr>
              <w:t>管理层</w:t>
            </w:r>
            <w:r>
              <w:rPr>
                <w:rFonts w:hint="eastAsia" w:ascii="宋体" w:hAnsi="宋体" w:cs="宋体"/>
                <w:color w:val="auto"/>
                <w:sz w:val="24"/>
                <w:szCs w:val="24"/>
              </w:rPr>
              <w:t xml:space="preserve">    主管领导/陪同人员：任世英、李秀云</w:t>
            </w:r>
            <w:r>
              <w:rPr>
                <w:rFonts w:hint="eastAsia" w:ascii="宋体" w:hAnsi="宋体" w:cs="宋体"/>
                <w:color w:val="auto"/>
                <w:sz w:val="24"/>
                <w:szCs w:val="24"/>
                <w:lang w:eastAsia="zh-CN"/>
              </w:rPr>
              <w:t>、</w:t>
            </w:r>
            <w:r>
              <w:rPr>
                <w:rFonts w:hint="eastAsia" w:ascii="宋体" w:hAnsi="宋体" w:cs="宋体"/>
                <w:color w:val="auto"/>
                <w:szCs w:val="21"/>
              </w:rPr>
              <w:t>王进龙</w:t>
            </w:r>
            <w:r>
              <w:rPr>
                <w:rFonts w:hint="eastAsia" w:ascii="宋体" w:hAnsi="宋体" w:cs="宋体"/>
                <w:color w:val="auto"/>
                <w:sz w:val="24"/>
                <w:szCs w:val="24"/>
              </w:rPr>
              <w:t>/张彦林</w:t>
            </w:r>
          </w:p>
        </w:tc>
        <w:tc>
          <w:tcPr>
            <w:tcW w:w="760" w:type="dxa"/>
            <w:vMerge w:val="restart"/>
            <w:vAlign w:val="center"/>
          </w:tcPr>
          <w:p>
            <w:pPr>
              <w:spacing w:line="320" w:lineRule="exact"/>
              <w:rPr>
                <w:rFonts w:ascii="宋体" w:hAnsi="宋体" w:cs="宋体"/>
                <w:color w:val="FF0000"/>
                <w:szCs w:val="21"/>
              </w:rPr>
            </w:pPr>
            <w:r>
              <w:rPr>
                <w:rFonts w:hint="eastAsia" w:ascii="宋体" w:hAnsi="宋体" w:cs="宋体"/>
                <w:color w:val="FF0000"/>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color w:val="auto"/>
                <w:sz w:val="24"/>
                <w:szCs w:val="24"/>
              </w:rPr>
            </w:pPr>
          </w:p>
        </w:tc>
        <w:tc>
          <w:tcPr>
            <w:tcW w:w="1019" w:type="dxa"/>
            <w:vMerge w:val="continue"/>
            <w:vAlign w:val="center"/>
          </w:tcPr>
          <w:p>
            <w:pPr>
              <w:spacing w:line="320" w:lineRule="exact"/>
              <w:rPr>
                <w:rFonts w:ascii="宋体" w:hAnsi="宋体" w:cs="宋体"/>
                <w:color w:val="auto"/>
                <w:sz w:val="24"/>
                <w:szCs w:val="24"/>
              </w:rPr>
            </w:pPr>
          </w:p>
        </w:tc>
        <w:tc>
          <w:tcPr>
            <w:tcW w:w="11223" w:type="dxa"/>
            <w:vAlign w:val="center"/>
          </w:tcPr>
          <w:p>
            <w:pPr>
              <w:spacing w:line="32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val="en-US" w:eastAsia="zh-CN"/>
              </w:rPr>
              <w:t>李凤仪</w:t>
            </w:r>
            <w:r>
              <w:rPr>
                <w:rFonts w:hint="eastAsia" w:ascii="宋体" w:hAnsi="宋体" w:cs="宋体"/>
                <w:color w:val="auto"/>
                <w:sz w:val="24"/>
                <w:szCs w:val="24"/>
              </w:rPr>
              <w:t xml:space="preserve">               审核时间：20</w:t>
            </w:r>
            <w:r>
              <w:rPr>
                <w:rFonts w:hint="eastAsia" w:ascii="宋体" w:hAnsi="宋体" w:cs="宋体"/>
                <w:color w:val="auto"/>
                <w:sz w:val="24"/>
                <w:szCs w:val="24"/>
                <w:lang w:val="en-US" w:eastAsia="zh-CN"/>
              </w:rPr>
              <w:t>21</w:t>
            </w: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.1</w:t>
            </w:r>
            <w:r>
              <w:rPr>
                <w:rFonts w:hint="eastAsia" w:ascii="宋体" w:hAnsi="宋体" w:cs="宋体"/>
                <w:color w:val="auto"/>
                <w:sz w:val="24"/>
                <w:szCs w:val="24"/>
                <w:lang w:val="en-US" w:eastAsia="zh-CN"/>
              </w:rPr>
              <w:t>6</w:t>
            </w:r>
          </w:p>
        </w:tc>
        <w:tc>
          <w:tcPr>
            <w:tcW w:w="760" w:type="dxa"/>
            <w:vMerge w:val="continue"/>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color w:val="auto"/>
                <w:sz w:val="24"/>
                <w:szCs w:val="24"/>
              </w:rPr>
            </w:pPr>
          </w:p>
        </w:tc>
        <w:tc>
          <w:tcPr>
            <w:tcW w:w="1019" w:type="dxa"/>
            <w:vMerge w:val="continue"/>
            <w:vAlign w:val="center"/>
          </w:tcPr>
          <w:p>
            <w:pPr>
              <w:spacing w:line="320" w:lineRule="exact"/>
              <w:rPr>
                <w:rFonts w:ascii="宋体" w:hAnsi="宋体" w:cs="宋体"/>
                <w:color w:val="auto"/>
                <w:sz w:val="24"/>
                <w:szCs w:val="24"/>
              </w:rPr>
            </w:pPr>
          </w:p>
        </w:tc>
        <w:tc>
          <w:tcPr>
            <w:tcW w:w="11223" w:type="dxa"/>
            <w:vAlign w:val="center"/>
          </w:tcPr>
          <w:p>
            <w:pPr>
              <w:rPr>
                <w:rFonts w:ascii="宋体" w:hAnsi="宋体"/>
                <w:color w:val="auto"/>
                <w:sz w:val="18"/>
              </w:rPr>
            </w:pPr>
            <w:r>
              <w:rPr>
                <w:rFonts w:hint="eastAsia"/>
                <w:color w:val="auto"/>
                <w:sz w:val="24"/>
                <w:szCs w:val="24"/>
              </w:rPr>
              <w:t>审核条款：</w:t>
            </w:r>
            <w:r>
              <w:rPr>
                <w:rFonts w:ascii="宋体" w:hAnsi="宋体"/>
                <w:color w:val="auto"/>
                <w:sz w:val="18"/>
              </w:rPr>
              <w:t xml:space="preserve">Q:4.1/4.2/4.3/4.4/5.1/5.2/5.3/6.1/6.2/6.3/7.1.1/9.1.1/9.3/10.1/10.3 </w:t>
            </w:r>
          </w:p>
          <w:p>
            <w:pPr>
              <w:rPr>
                <w:rFonts w:ascii="宋体" w:hAnsi="宋体"/>
                <w:color w:val="auto"/>
                <w:sz w:val="18"/>
              </w:rPr>
            </w:pPr>
            <w:r>
              <w:rPr>
                <w:rFonts w:ascii="宋体" w:hAnsi="宋体"/>
                <w:color w:val="auto"/>
                <w:sz w:val="18"/>
              </w:rPr>
              <w:t>E</w:t>
            </w:r>
            <w:r>
              <w:rPr>
                <w:rFonts w:hint="eastAsia" w:ascii="宋体" w:hAnsi="宋体"/>
                <w:color w:val="auto"/>
                <w:sz w:val="18"/>
                <w:lang w:val="en-US" w:eastAsia="zh-CN"/>
              </w:rPr>
              <w:t>O</w:t>
            </w:r>
            <w:r>
              <w:rPr>
                <w:rFonts w:ascii="宋体" w:hAnsi="宋体"/>
                <w:color w:val="auto"/>
                <w:sz w:val="18"/>
              </w:rPr>
              <w:t>:4.1/4.2/4.3/4.4/5.1/5.2/5.3/6.1.1/6.1.4/6.2/7.1/</w:t>
            </w:r>
            <w:r>
              <w:rPr>
                <w:rFonts w:hint="eastAsia" w:ascii="宋体" w:hAnsi="宋体"/>
                <w:color w:val="auto"/>
                <w:sz w:val="18"/>
              </w:rPr>
              <w:t>7.4/9.1.1/</w:t>
            </w:r>
            <w:r>
              <w:rPr>
                <w:rFonts w:ascii="宋体" w:hAnsi="宋体"/>
                <w:color w:val="auto"/>
                <w:sz w:val="18"/>
              </w:rPr>
              <w:t>9.3/10.1/10.3</w:t>
            </w:r>
          </w:p>
          <w:p>
            <w:pPr>
              <w:spacing w:line="280" w:lineRule="exact"/>
              <w:rPr>
                <w:rFonts w:ascii="宋体" w:hAnsi="宋体" w:cs="宋体"/>
                <w:color w:val="auto"/>
                <w:sz w:val="24"/>
                <w:szCs w:val="24"/>
              </w:rPr>
            </w:pPr>
            <w:r>
              <w:rPr>
                <w:rFonts w:hint="eastAsia" w:ascii="宋体" w:hAnsi="宋体"/>
                <w:color w:val="auto"/>
                <w:sz w:val="18"/>
              </w:rPr>
              <w:t>资质验证/范围再确认/</w:t>
            </w:r>
            <w:r>
              <w:rPr>
                <w:rFonts w:hint="eastAsia" w:ascii="宋体" w:hAnsi="宋体"/>
                <w:color w:val="auto"/>
                <w:sz w:val="18"/>
                <w:lang w:val="en-US" w:eastAsia="zh-CN"/>
              </w:rPr>
              <w:t>上次审核</w:t>
            </w:r>
            <w:r>
              <w:rPr>
                <w:rFonts w:hint="eastAsia" w:ascii="宋体" w:hAnsi="宋体"/>
                <w:color w:val="auto"/>
                <w:sz w:val="18"/>
              </w:rPr>
              <w:t>问题验证/投诉或事故/政府主管部门监督抽查情况</w:t>
            </w:r>
          </w:p>
        </w:tc>
        <w:tc>
          <w:tcPr>
            <w:tcW w:w="760" w:type="dxa"/>
            <w:vMerge w:val="continue"/>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理解组织及其环境</w:t>
            </w:r>
          </w:p>
          <w:p>
            <w:pPr>
              <w:spacing w:line="280" w:lineRule="exact"/>
              <w:rPr>
                <w:rFonts w:ascii="宋体" w:hAnsi="宋体" w:cs="宋体"/>
                <w:color w:val="auto"/>
                <w:szCs w:val="21"/>
              </w:rPr>
            </w:pPr>
            <w:r>
              <w:rPr>
                <w:rFonts w:hint="eastAsia" w:ascii="宋体" w:hAnsi="宋体" w:cs="宋体"/>
                <w:color w:val="auto"/>
                <w:szCs w:val="21"/>
              </w:rPr>
              <w:t>总要求</w:t>
            </w:r>
          </w:p>
          <w:p>
            <w:pPr>
              <w:spacing w:line="280" w:lineRule="exact"/>
              <w:rPr>
                <w:rFonts w:ascii="宋体" w:hAnsi="宋体" w:cs="宋体"/>
                <w:color w:val="auto"/>
                <w:sz w:val="24"/>
                <w:szCs w:val="24"/>
              </w:rPr>
            </w:pPr>
          </w:p>
        </w:tc>
        <w:tc>
          <w:tcPr>
            <w:tcW w:w="1019" w:type="dxa"/>
          </w:tcPr>
          <w:p>
            <w:pPr>
              <w:spacing w:line="280" w:lineRule="exact"/>
              <w:rPr>
                <w:rFonts w:ascii="宋体" w:hAnsi="宋体" w:cs="宋体"/>
                <w:color w:val="auto"/>
                <w:sz w:val="24"/>
                <w:szCs w:val="24"/>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4.1</w:t>
            </w:r>
          </w:p>
        </w:tc>
        <w:tc>
          <w:tcPr>
            <w:tcW w:w="11223" w:type="dxa"/>
            <w:vAlign w:val="center"/>
          </w:tcPr>
          <w:p>
            <w:pPr>
              <w:rPr>
                <w:rFonts w:hint="eastAsia"/>
                <w:color w:val="auto"/>
                <w:szCs w:val="21"/>
              </w:rPr>
            </w:pPr>
            <w:bookmarkStart w:id="0" w:name="组织名称"/>
            <w:r>
              <w:rPr>
                <w:color w:val="auto"/>
                <w:szCs w:val="21"/>
              </w:rPr>
              <w:t>河北佰畅物业服务有限公司</w:t>
            </w:r>
            <w:bookmarkEnd w:id="0"/>
            <w:r>
              <w:rPr>
                <w:rFonts w:hint="eastAsia"/>
                <w:color w:val="auto"/>
                <w:szCs w:val="21"/>
              </w:rPr>
              <w:t>，成立于2019-04-19 至 无固定期限，统一社会信用代码：91130102MA0DFUEX15注册资本为5000万元的有限责任公司。注册地址：河北省石家庄市长安区广安大街24号财富大厦A座2003室 ，公司主要业务为公司成立以来发展迅速，业务不断发展壮大我公司主要经营物业管理;清洁服务;家政服务;摄影服务;打字复印;会议及展览展示服务;供热服务;停车场服务;园林绿化工程、室内外装饰装修工程的施工;文具用品、日用百货、卫生洁具的销售。(依法须经批准的项目,经相关部门批准后方可开展经营活动)。公司的主要客户群为全国各地的企业、学校、物业管理服务；公司采用总经理负责制，层层把关，让用户真正放心</w:t>
            </w:r>
          </w:p>
          <w:p>
            <w:pPr>
              <w:spacing w:line="280" w:lineRule="exact"/>
              <w:ind w:firstLine="420" w:firstLineChars="200"/>
              <w:rPr>
                <w:rFonts w:ascii="宋体" w:hAnsi="宋体" w:cs="宋体"/>
                <w:color w:val="auto"/>
                <w:szCs w:val="21"/>
              </w:rPr>
            </w:pPr>
            <w:r>
              <w:rPr>
                <w:rFonts w:hint="eastAsia" w:ascii="宋体" w:hAnsi="宋体" w:cs="宋体"/>
                <w:color w:val="auto"/>
                <w:szCs w:val="21"/>
              </w:rPr>
              <w:t>管理手册， 实施、发布日期：2019-5-10；因招投标代理服务均为按客户要求进行服务，服务模式较为成熟有效，现场查看，办公区面积约100</w:t>
            </w:r>
            <w:r>
              <w:rPr>
                <w:rFonts w:hint="eastAsia" w:ascii="宋体" w:hAnsi="宋体" w:cs="宋体"/>
                <w:color w:val="auto"/>
                <w:szCs w:val="21"/>
                <w:lang w:val="en-US" w:eastAsia="zh-CN"/>
              </w:rPr>
              <w:t>0</w:t>
            </w:r>
            <w:r>
              <w:rPr>
                <w:rFonts w:hint="eastAsia" w:ascii="宋体" w:hAnsi="宋体" w:cs="宋体"/>
                <w:color w:val="auto"/>
                <w:szCs w:val="21"/>
              </w:rPr>
              <w:t>平米， 无库房。</w:t>
            </w:r>
          </w:p>
          <w:p>
            <w:pPr>
              <w:spacing w:line="280" w:lineRule="exact"/>
              <w:ind w:firstLine="420" w:firstLineChars="200"/>
              <w:rPr>
                <w:rFonts w:ascii="宋体" w:hAnsi="宋体" w:cs="宋体"/>
                <w:color w:val="auto"/>
                <w:szCs w:val="21"/>
              </w:rPr>
            </w:pPr>
            <w:r>
              <w:rPr>
                <w:rFonts w:hint="eastAsia" w:ascii="宋体" w:hAnsi="宋体" w:cs="宋体"/>
                <w:color w:val="auto"/>
                <w:szCs w:val="21"/>
              </w:rPr>
              <w:t>注册地址：河北省石家庄市长安区广安大街24号财富大厦A座2003室；</w:t>
            </w:r>
          </w:p>
          <w:p>
            <w:pPr>
              <w:spacing w:line="280" w:lineRule="exact"/>
              <w:ind w:firstLine="420" w:firstLineChars="200"/>
              <w:rPr>
                <w:rFonts w:asciiTheme="minorEastAsia" w:hAnsiTheme="minorEastAsia" w:eastAsiaTheme="minorEastAsia"/>
                <w:color w:val="auto"/>
                <w:sz w:val="20"/>
              </w:rPr>
            </w:pPr>
            <w:r>
              <w:rPr>
                <w:rFonts w:hint="eastAsia" w:ascii="宋体" w:hAnsi="宋体" w:cs="宋体"/>
                <w:color w:val="auto"/>
                <w:szCs w:val="21"/>
              </w:rPr>
              <w:t>经营地址：</w:t>
            </w:r>
            <w:r>
              <w:rPr>
                <w:rFonts w:asciiTheme="minorEastAsia" w:hAnsiTheme="minorEastAsia" w:eastAsiaTheme="minorEastAsia"/>
                <w:color w:val="auto"/>
                <w:sz w:val="20"/>
              </w:rPr>
              <w:t>新华区中华北大街198号中储广场D座1805室</w:t>
            </w:r>
          </w:p>
          <w:p>
            <w:pPr>
              <w:spacing w:line="280" w:lineRule="exact"/>
              <w:ind w:firstLine="420" w:firstLineChars="200"/>
              <w:rPr>
                <w:rFonts w:ascii="宋体" w:hAnsi="宋体" w:cs="宋体"/>
                <w:color w:val="auto"/>
                <w:szCs w:val="21"/>
              </w:rPr>
            </w:pPr>
            <w:r>
              <w:rPr>
                <w:rFonts w:hint="eastAsia" w:ascii="宋体" w:hAnsi="宋体" w:cs="宋体"/>
                <w:color w:val="auto"/>
                <w:szCs w:val="21"/>
              </w:rPr>
              <w:t>查到营业执照有效，认证范围在经营范围内，符合要求。</w:t>
            </w:r>
          </w:p>
          <w:p>
            <w:pPr>
              <w:spacing w:line="280" w:lineRule="exact"/>
              <w:ind w:firstLine="420" w:firstLineChars="200"/>
              <w:rPr>
                <w:rFonts w:ascii="宋体" w:hAnsi="宋体" w:cs="宋体"/>
                <w:color w:val="auto"/>
                <w:szCs w:val="21"/>
              </w:rPr>
            </w:pPr>
            <w:r>
              <w:rPr>
                <w:rFonts w:hint="eastAsia" w:ascii="宋体" w:hAnsi="宋体" w:cs="宋体"/>
                <w:color w:val="auto"/>
                <w:szCs w:val="21"/>
              </w:rPr>
              <w:t>无生产许可要求。</w:t>
            </w:r>
          </w:p>
          <w:p>
            <w:pPr>
              <w:spacing w:line="280" w:lineRule="exact"/>
              <w:ind w:firstLine="420" w:firstLineChars="200"/>
              <w:rPr>
                <w:rFonts w:ascii="宋体" w:hAnsi="宋体" w:cs="宋体"/>
                <w:color w:val="auto"/>
                <w:szCs w:val="21"/>
              </w:rPr>
            </w:pPr>
            <w:r>
              <w:rPr>
                <w:rFonts w:hint="eastAsia" w:ascii="宋体" w:hAnsi="宋体" w:cs="宋体"/>
                <w:color w:val="auto"/>
                <w:szCs w:val="21"/>
              </w:rPr>
              <w:t>认证范围变更为：</w:t>
            </w:r>
          </w:p>
          <w:p>
            <w:pPr>
              <w:ind w:firstLine="420" w:firstLineChars="200"/>
              <w:rPr>
                <w:color w:val="auto"/>
                <w:szCs w:val="21"/>
              </w:rPr>
            </w:pPr>
            <w:r>
              <w:rPr>
                <w:rFonts w:hint="eastAsia"/>
                <w:color w:val="auto"/>
                <w:szCs w:val="21"/>
              </w:rPr>
              <w:t>Q：</w:t>
            </w:r>
            <w:r>
              <w:rPr>
                <w:rFonts w:hint="eastAsia" w:ascii="宋体" w:hAnsi="宋体"/>
                <w:color w:val="auto"/>
                <w:szCs w:val="21"/>
              </w:rPr>
              <w:t>物业管理</w:t>
            </w:r>
          </w:p>
          <w:p>
            <w:pPr>
              <w:ind w:firstLine="420" w:firstLineChars="200"/>
              <w:rPr>
                <w:rFonts w:ascii="宋体" w:hAnsi="宋体"/>
                <w:color w:val="auto"/>
                <w:szCs w:val="21"/>
              </w:rPr>
            </w:pPr>
            <w:r>
              <w:rPr>
                <w:rFonts w:hint="eastAsia"/>
                <w:color w:val="auto"/>
                <w:szCs w:val="21"/>
              </w:rPr>
              <w:t>E：</w:t>
            </w:r>
            <w:r>
              <w:rPr>
                <w:rFonts w:hint="eastAsia" w:ascii="宋体" w:hAnsi="宋体"/>
                <w:color w:val="auto"/>
                <w:szCs w:val="21"/>
              </w:rPr>
              <w:t>物业管理及相关环境管理活动</w:t>
            </w:r>
          </w:p>
          <w:p>
            <w:pPr>
              <w:spacing w:line="280" w:lineRule="exact"/>
              <w:ind w:firstLine="420" w:firstLineChars="200"/>
              <w:rPr>
                <w:rFonts w:ascii="宋体" w:hAnsi="宋体"/>
                <w:color w:val="auto"/>
                <w:szCs w:val="21"/>
              </w:rPr>
            </w:pPr>
            <w:r>
              <w:rPr>
                <w:rFonts w:hint="eastAsia"/>
                <w:color w:val="auto"/>
                <w:szCs w:val="21"/>
              </w:rPr>
              <w:t>O：</w:t>
            </w:r>
            <w:r>
              <w:rPr>
                <w:rFonts w:hint="eastAsia" w:ascii="宋体" w:hAnsi="宋体"/>
                <w:color w:val="auto"/>
                <w:szCs w:val="21"/>
              </w:rPr>
              <w:t>物业管理及相关职业健康安全管理活动</w:t>
            </w:r>
          </w:p>
          <w:p>
            <w:pPr>
              <w:spacing w:line="280" w:lineRule="exact"/>
              <w:ind w:firstLine="420" w:firstLineChars="200"/>
              <w:rPr>
                <w:rFonts w:ascii="宋体" w:hAnsi="宋体" w:cs="宋体"/>
                <w:color w:val="auto"/>
                <w:szCs w:val="21"/>
              </w:rPr>
            </w:pPr>
            <w:r>
              <w:rPr>
                <w:rFonts w:hint="eastAsia" w:ascii="宋体" w:hAnsi="宋体" w:cs="宋体"/>
                <w:color w:val="auto"/>
                <w:szCs w:val="21"/>
              </w:rPr>
              <w:t>公司管理体系设置了行政部、项目部、财务部。各部门职责已确定并发布、实施。</w:t>
            </w:r>
          </w:p>
          <w:p>
            <w:pPr>
              <w:spacing w:line="280" w:lineRule="exact"/>
              <w:ind w:firstLine="420" w:firstLineChars="200"/>
              <w:rPr>
                <w:rFonts w:ascii="宋体" w:hAnsi="宋体" w:cs="宋体"/>
                <w:color w:val="auto"/>
                <w:szCs w:val="21"/>
              </w:rPr>
            </w:pPr>
            <w:r>
              <w:rPr>
                <w:rFonts w:hint="eastAsia" w:ascii="宋体" w:hAnsi="宋体" w:cs="宋体"/>
                <w:color w:val="auto"/>
                <w:szCs w:val="21"/>
              </w:rPr>
              <w:t>认证主管部门：行政部</w:t>
            </w:r>
          </w:p>
          <w:p>
            <w:pPr>
              <w:spacing w:line="280" w:lineRule="exact"/>
              <w:ind w:firstLine="420" w:firstLineChars="200"/>
              <w:rPr>
                <w:rFonts w:ascii="宋体" w:hAnsi="宋体" w:cs="宋体"/>
                <w:color w:val="auto"/>
                <w:szCs w:val="21"/>
              </w:rPr>
            </w:pPr>
            <w:r>
              <w:rPr>
                <w:rFonts w:hint="eastAsia" w:ascii="宋体" w:hAnsi="宋体" w:cs="宋体"/>
                <w:color w:val="auto"/>
                <w:szCs w:val="21"/>
              </w:rPr>
              <w:t>环评：无。</w:t>
            </w:r>
          </w:p>
          <w:p>
            <w:pPr>
              <w:spacing w:line="28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rPr>
              <w:t>管理体系运行时间：2019年5月10日</w:t>
            </w:r>
          </w:p>
          <w:p>
            <w:pPr>
              <w:spacing w:line="280" w:lineRule="exact"/>
              <w:ind w:firstLine="420" w:firstLineChars="200"/>
              <w:rPr>
                <w:rFonts w:ascii="宋体" w:hAnsi="宋体" w:cs="宋体"/>
                <w:color w:val="auto"/>
                <w:szCs w:val="21"/>
              </w:rPr>
            </w:pPr>
            <w:r>
              <w:rPr>
                <w:rFonts w:hint="eastAsia" w:ascii="宋体" w:hAnsi="宋体" w:cs="宋体"/>
                <w:color w:val="auto"/>
                <w:szCs w:val="21"/>
              </w:rPr>
              <w:t>管理者代表：李秀云</w:t>
            </w:r>
          </w:p>
          <w:p>
            <w:pPr>
              <w:spacing w:line="280" w:lineRule="exact"/>
              <w:ind w:firstLine="420" w:firstLineChars="200"/>
              <w:rPr>
                <w:rFonts w:ascii="宋体" w:hAnsi="宋体" w:cs="宋体"/>
                <w:color w:val="auto"/>
                <w:szCs w:val="21"/>
              </w:rPr>
            </w:pPr>
            <w:r>
              <w:rPr>
                <w:rFonts w:hint="eastAsia" w:ascii="宋体" w:hAnsi="宋体" w:cs="宋体"/>
                <w:color w:val="auto"/>
                <w:szCs w:val="21"/>
              </w:rPr>
              <w:t>职业健康安全代表：王进龙</w:t>
            </w:r>
          </w:p>
          <w:p>
            <w:pPr>
              <w:spacing w:line="280" w:lineRule="exact"/>
              <w:ind w:firstLine="420" w:firstLineChars="200"/>
              <w:rPr>
                <w:rFonts w:ascii="宋体" w:hAnsi="宋体" w:cs="宋体"/>
                <w:color w:val="FF0000"/>
                <w:sz w:val="24"/>
                <w:szCs w:val="24"/>
              </w:rPr>
            </w:pPr>
            <w:r>
              <w:rPr>
                <w:rFonts w:hint="eastAsia" w:ascii="宋体" w:hAnsi="宋体" w:cs="宋体"/>
                <w:color w:val="auto"/>
                <w:szCs w:val="21"/>
              </w:rPr>
              <w:t>总经理任世英说：公司推行管理体系目的就是主要是市场需求。总经理确定与本公司管理目标和战略方向相关并影响实现管理体系预期结果的各种内部因素和外部因素。这些因素包括了需要考虑的正面和负面因素或条件。公司每年行政部根据由公司销售等外出人员从市场、客户、网络等搜集到的信息并结合公司自身业务运作情况进行分析，通过分析对这些内部和外部因素的相关信息进行监视和评审以确保其充分和适宜。</w:t>
            </w:r>
          </w:p>
        </w:tc>
        <w:tc>
          <w:tcPr>
            <w:tcW w:w="760" w:type="dxa"/>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理解相关方的需求和期望</w:t>
            </w:r>
          </w:p>
          <w:p>
            <w:pPr>
              <w:spacing w:line="280" w:lineRule="exact"/>
              <w:rPr>
                <w:rFonts w:ascii="宋体" w:hAnsi="宋体" w:cs="宋体"/>
                <w:color w:val="auto"/>
                <w:sz w:val="24"/>
                <w:szCs w:val="24"/>
              </w:rPr>
            </w:pPr>
          </w:p>
        </w:tc>
        <w:tc>
          <w:tcPr>
            <w:tcW w:w="1019" w:type="dxa"/>
          </w:tcPr>
          <w:p>
            <w:pPr>
              <w:spacing w:line="28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4.2</w:t>
            </w:r>
          </w:p>
          <w:p>
            <w:pPr>
              <w:spacing w:line="280" w:lineRule="exact"/>
              <w:rPr>
                <w:rFonts w:ascii="宋体" w:hAnsi="宋体" w:cs="宋体"/>
                <w:color w:val="auto"/>
                <w:sz w:val="24"/>
                <w:szCs w:val="24"/>
              </w:rPr>
            </w:pPr>
          </w:p>
        </w:tc>
        <w:tc>
          <w:tcPr>
            <w:tcW w:w="11223"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该公司充分理解相关方的需求和期望，建立了公司管理方针和目标，做到目的更明确。以满足相关方的要求并争取做到更高的期望值。公司为此确定了：1、与管理体系有关的相关方，我们公司特别是关注外供方和顾客；2、这些相关方的要求；3、这些要求和期望中哪些会成为合规义务。</w:t>
            </w:r>
          </w:p>
          <w:p>
            <w:pPr>
              <w:spacing w:line="280" w:lineRule="exact"/>
              <w:ind w:firstLine="420" w:firstLineChars="200"/>
              <w:rPr>
                <w:rFonts w:ascii="宋体" w:hAnsi="宋体" w:cs="宋体"/>
                <w:color w:val="auto"/>
                <w:szCs w:val="21"/>
              </w:rPr>
            </w:pPr>
            <w:r>
              <w:rPr>
                <w:rFonts w:hint="eastAsia" w:ascii="宋体" w:hAnsi="宋体" w:cs="宋体"/>
                <w:color w:val="auto"/>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color w:val="auto"/>
                <w:szCs w:val="21"/>
              </w:rPr>
            </w:pPr>
            <w:r>
              <w:rPr>
                <w:rFonts w:hint="eastAsia" w:ascii="宋体" w:hAnsi="宋体" w:cs="宋体"/>
                <w:color w:val="auto"/>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color w:val="auto"/>
                <w:sz w:val="24"/>
                <w:szCs w:val="24"/>
              </w:rPr>
            </w:pPr>
            <w:r>
              <w:rPr>
                <w:rFonts w:hint="eastAsia" w:ascii="宋体" w:hAnsi="宋体" w:cs="宋体"/>
                <w:color w:val="auto"/>
                <w:szCs w:val="21"/>
              </w:rPr>
              <w:t>目前顾客的主要需求期望是：提供使用方便、美观、满足环保要求、质量稳定的产品。</w:t>
            </w:r>
          </w:p>
        </w:tc>
        <w:tc>
          <w:tcPr>
            <w:tcW w:w="760" w:type="dxa"/>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确定管理体系的范围</w:t>
            </w:r>
          </w:p>
          <w:p>
            <w:pPr>
              <w:spacing w:line="280" w:lineRule="exact"/>
              <w:rPr>
                <w:rFonts w:ascii="宋体" w:hAnsi="宋体" w:cs="宋体"/>
                <w:color w:val="auto"/>
                <w:sz w:val="24"/>
                <w:szCs w:val="24"/>
              </w:rPr>
            </w:pPr>
          </w:p>
        </w:tc>
        <w:tc>
          <w:tcPr>
            <w:tcW w:w="1019" w:type="dxa"/>
          </w:tcPr>
          <w:p>
            <w:pPr>
              <w:spacing w:line="280" w:lineRule="exact"/>
              <w:rPr>
                <w:rFonts w:ascii="宋体" w:hAnsi="宋体" w:cs="宋体"/>
                <w:color w:val="auto"/>
                <w:szCs w:val="21"/>
              </w:rPr>
            </w:pPr>
            <w:r>
              <w:rPr>
                <w:rFonts w:hint="eastAsia" w:ascii="宋体" w:hAnsi="宋体" w:cs="宋体"/>
                <w:color w:val="auto"/>
                <w:szCs w:val="21"/>
              </w:rPr>
              <w:t>QE 4.3</w:t>
            </w:r>
          </w:p>
          <w:p>
            <w:pPr>
              <w:spacing w:line="280" w:lineRule="exact"/>
              <w:rPr>
                <w:rFonts w:ascii="宋体" w:hAnsi="宋体" w:cs="宋体"/>
                <w:color w:val="auto"/>
                <w:sz w:val="24"/>
                <w:szCs w:val="24"/>
              </w:rPr>
            </w:pPr>
            <w:r>
              <w:rPr>
                <w:rFonts w:hint="eastAsia" w:ascii="宋体" w:hAnsi="宋体" w:cs="宋体"/>
                <w:color w:val="auto"/>
                <w:szCs w:val="21"/>
              </w:rPr>
              <w:t>O4.1</w:t>
            </w:r>
          </w:p>
        </w:tc>
        <w:tc>
          <w:tcPr>
            <w:tcW w:w="11223"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在确定管理体系范围时公司考虑了以下内容：a各种内部和外部因素；b相关方的要求，包括相关合规义务；c组织的活动、产品和产品；</w:t>
            </w:r>
          </w:p>
          <w:p>
            <w:pPr>
              <w:spacing w:line="280" w:lineRule="exact"/>
              <w:rPr>
                <w:rFonts w:ascii="宋体" w:hAnsi="宋体" w:cs="宋体"/>
                <w:color w:val="auto"/>
                <w:szCs w:val="21"/>
              </w:rPr>
            </w:pPr>
            <w:r>
              <w:rPr>
                <w:rFonts w:hint="eastAsia" w:ascii="宋体" w:hAnsi="宋体" w:cs="宋体"/>
                <w:color w:val="auto"/>
                <w:szCs w:val="21"/>
              </w:rPr>
              <w:t>d其组织单元、职能和物理边界。</w:t>
            </w:r>
          </w:p>
          <w:p>
            <w:pPr>
              <w:spacing w:line="280" w:lineRule="exact"/>
              <w:ind w:firstLine="420" w:firstLineChars="200"/>
              <w:jc w:val="left"/>
              <w:rPr>
                <w:rFonts w:ascii="宋体" w:hAnsi="宋体" w:cs="宋体"/>
                <w:color w:val="auto"/>
                <w:szCs w:val="21"/>
              </w:rPr>
            </w:pPr>
            <w:r>
              <w:rPr>
                <w:rFonts w:hint="eastAsia" w:ascii="宋体" w:hAnsi="宋体" w:cs="宋体"/>
                <w:color w:val="auto"/>
                <w:szCs w:val="21"/>
              </w:rPr>
              <w:t>公司管理体系范围为：</w:t>
            </w:r>
          </w:p>
          <w:p>
            <w:pPr>
              <w:rPr>
                <w:color w:val="auto"/>
                <w:szCs w:val="21"/>
              </w:rPr>
            </w:pPr>
            <w:r>
              <w:rPr>
                <w:rFonts w:hint="eastAsia"/>
                <w:color w:val="auto"/>
                <w:szCs w:val="21"/>
              </w:rPr>
              <w:t>Q：</w:t>
            </w:r>
            <w:r>
              <w:rPr>
                <w:rFonts w:hint="eastAsia" w:ascii="宋体" w:hAnsi="宋体"/>
                <w:color w:val="auto"/>
                <w:szCs w:val="21"/>
              </w:rPr>
              <w:t>物业管理</w:t>
            </w:r>
          </w:p>
          <w:p>
            <w:pPr>
              <w:rPr>
                <w:rFonts w:ascii="宋体" w:hAnsi="宋体"/>
                <w:color w:val="auto"/>
                <w:szCs w:val="21"/>
              </w:rPr>
            </w:pPr>
            <w:r>
              <w:rPr>
                <w:rFonts w:hint="eastAsia"/>
                <w:color w:val="auto"/>
                <w:szCs w:val="21"/>
              </w:rPr>
              <w:t>E：</w:t>
            </w:r>
            <w:r>
              <w:rPr>
                <w:rFonts w:hint="eastAsia" w:ascii="宋体" w:hAnsi="宋体"/>
                <w:color w:val="auto"/>
                <w:szCs w:val="21"/>
              </w:rPr>
              <w:t>物业管理及相关环境管理活动</w:t>
            </w:r>
          </w:p>
          <w:p>
            <w:pPr>
              <w:spacing w:line="280" w:lineRule="exact"/>
              <w:ind w:firstLine="420" w:firstLineChars="200"/>
              <w:rPr>
                <w:rFonts w:ascii="宋体" w:hAnsi="宋体"/>
                <w:color w:val="auto"/>
                <w:szCs w:val="21"/>
              </w:rPr>
            </w:pPr>
            <w:r>
              <w:rPr>
                <w:rFonts w:hint="eastAsia"/>
                <w:color w:val="auto"/>
                <w:szCs w:val="21"/>
              </w:rPr>
              <w:t>O：</w:t>
            </w:r>
            <w:r>
              <w:rPr>
                <w:rFonts w:hint="eastAsia" w:ascii="宋体" w:hAnsi="宋体"/>
                <w:color w:val="auto"/>
                <w:szCs w:val="21"/>
              </w:rPr>
              <w:t>物业管理及相关职业健康安全管理活动</w:t>
            </w:r>
          </w:p>
          <w:p>
            <w:pPr>
              <w:spacing w:line="280" w:lineRule="exact"/>
              <w:ind w:firstLine="420" w:firstLineChars="200"/>
              <w:rPr>
                <w:rFonts w:ascii="宋体" w:hAnsi="宋体" w:cs="宋体"/>
                <w:color w:val="auto"/>
                <w:szCs w:val="21"/>
              </w:rPr>
            </w:pPr>
            <w:r>
              <w:rPr>
                <w:rFonts w:hint="eastAsia" w:ascii="宋体" w:hAnsi="宋体" w:cs="宋体"/>
                <w:color w:val="auto"/>
                <w:szCs w:val="21"/>
              </w:rPr>
              <w:t>条款不适用情况：质量管理体系8.3条款不适用。</w:t>
            </w:r>
          </w:p>
          <w:p>
            <w:pPr>
              <w:spacing w:line="280" w:lineRule="exact"/>
              <w:ind w:firstLine="420" w:firstLineChars="200"/>
              <w:rPr>
                <w:rFonts w:ascii="宋体" w:hAnsi="宋体" w:cs="宋体"/>
                <w:color w:val="auto"/>
                <w:sz w:val="24"/>
                <w:szCs w:val="24"/>
              </w:rPr>
            </w:pPr>
            <w:r>
              <w:rPr>
                <w:rFonts w:hint="eastAsia" w:ascii="宋体" w:hAnsi="宋体" w:cs="宋体"/>
                <w:color w:val="auto"/>
                <w:szCs w:val="21"/>
              </w:rPr>
              <w:t>外包情况：无。</w:t>
            </w:r>
          </w:p>
        </w:tc>
        <w:tc>
          <w:tcPr>
            <w:tcW w:w="760" w:type="dxa"/>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管理体系及其过程</w:t>
            </w:r>
          </w:p>
          <w:p>
            <w:pPr>
              <w:spacing w:line="280" w:lineRule="exact"/>
              <w:rPr>
                <w:rFonts w:ascii="宋体" w:hAnsi="宋体" w:cs="宋体"/>
                <w:color w:val="auto"/>
                <w:sz w:val="24"/>
                <w:szCs w:val="24"/>
              </w:rPr>
            </w:pPr>
          </w:p>
        </w:tc>
        <w:tc>
          <w:tcPr>
            <w:tcW w:w="1019" w:type="dxa"/>
          </w:tcPr>
          <w:p>
            <w:pPr>
              <w:spacing w:line="28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 xml:space="preserve">O </w:t>
            </w:r>
            <w:r>
              <w:rPr>
                <w:rFonts w:hint="eastAsia" w:ascii="宋体" w:hAnsi="宋体" w:cs="宋体"/>
                <w:color w:val="auto"/>
                <w:szCs w:val="21"/>
              </w:rPr>
              <w:t>4.4</w:t>
            </w:r>
          </w:p>
          <w:p>
            <w:pPr>
              <w:spacing w:line="280" w:lineRule="exact"/>
              <w:rPr>
                <w:rFonts w:ascii="宋体" w:hAnsi="宋体" w:cs="宋体"/>
                <w:color w:val="auto"/>
                <w:sz w:val="24"/>
                <w:szCs w:val="24"/>
              </w:rPr>
            </w:pPr>
          </w:p>
        </w:tc>
        <w:tc>
          <w:tcPr>
            <w:tcW w:w="11223" w:type="dxa"/>
            <w:vAlign w:val="center"/>
          </w:tcPr>
          <w:p>
            <w:pPr>
              <w:spacing w:line="280" w:lineRule="exact"/>
              <w:ind w:firstLine="420" w:firstLineChars="200"/>
              <w:rPr>
                <w:rFonts w:ascii="宋体" w:hAnsi="宋体" w:cs="宋体"/>
                <w:color w:val="auto"/>
                <w:sz w:val="24"/>
                <w:szCs w:val="24"/>
              </w:rPr>
            </w:pPr>
            <w:r>
              <w:rPr>
                <w:rFonts w:hint="eastAsia" w:ascii="宋体" w:hAnsi="宋体" w:cs="宋体"/>
                <w:color w:val="auto"/>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tc>
        <w:tc>
          <w:tcPr>
            <w:tcW w:w="760" w:type="dxa"/>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领导作用与承诺</w:t>
            </w:r>
          </w:p>
          <w:p>
            <w:pPr>
              <w:spacing w:line="280" w:lineRule="exact"/>
              <w:rPr>
                <w:rFonts w:ascii="宋体" w:hAnsi="宋体" w:cs="宋体"/>
                <w:color w:val="auto"/>
                <w:sz w:val="24"/>
                <w:szCs w:val="24"/>
              </w:rPr>
            </w:pPr>
            <w:r>
              <w:rPr>
                <w:rFonts w:hint="eastAsia" w:ascii="宋体" w:hAnsi="宋体" w:cs="宋体"/>
                <w:color w:val="auto"/>
                <w:szCs w:val="21"/>
              </w:rPr>
              <w:t>--总则</w:t>
            </w:r>
          </w:p>
        </w:tc>
        <w:tc>
          <w:tcPr>
            <w:tcW w:w="1019" w:type="dxa"/>
          </w:tcPr>
          <w:p>
            <w:pPr>
              <w:spacing w:line="280" w:lineRule="exact"/>
              <w:rPr>
                <w:rFonts w:ascii="宋体" w:hAnsi="宋体" w:cs="宋体"/>
                <w:color w:val="auto"/>
                <w:szCs w:val="21"/>
              </w:rPr>
            </w:pPr>
            <w:r>
              <w:rPr>
                <w:rFonts w:hint="eastAsia" w:ascii="宋体" w:hAnsi="宋体" w:cs="宋体"/>
                <w:color w:val="auto"/>
                <w:szCs w:val="21"/>
              </w:rPr>
              <w:t>QE</w:t>
            </w:r>
          </w:p>
          <w:p>
            <w:pPr>
              <w:spacing w:line="280" w:lineRule="exact"/>
              <w:rPr>
                <w:rFonts w:ascii="宋体" w:hAnsi="宋体" w:cs="宋体"/>
                <w:color w:val="auto"/>
                <w:szCs w:val="21"/>
              </w:rPr>
            </w:pPr>
            <w:r>
              <w:rPr>
                <w:rFonts w:hint="eastAsia" w:ascii="宋体" w:hAnsi="宋体" w:cs="宋体"/>
                <w:color w:val="auto"/>
                <w:szCs w:val="21"/>
              </w:rPr>
              <w:t>5.1</w:t>
            </w:r>
          </w:p>
          <w:p>
            <w:pPr>
              <w:spacing w:line="280" w:lineRule="exact"/>
              <w:rPr>
                <w:rFonts w:ascii="宋体" w:hAnsi="宋体" w:cs="宋体"/>
                <w:color w:val="auto"/>
                <w:szCs w:val="21"/>
              </w:rPr>
            </w:pPr>
            <w:r>
              <w:rPr>
                <w:rFonts w:hint="eastAsia" w:ascii="宋体" w:hAnsi="宋体" w:cs="宋体"/>
                <w:color w:val="auto"/>
                <w:szCs w:val="21"/>
              </w:rPr>
              <w:t>5.1.1</w:t>
            </w:r>
          </w:p>
          <w:p>
            <w:pPr>
              <w:spacing w:line="280" w:lineRule="exact"/>
              <w:rPr>
                <w:rFonts w:ascii="宋体" w:hAnsi="宋体" w:cs="宋体"/>
                <w:color w:val="auto"/>
                <w:sz w:val="24"/>
                <w:szCs w:val="24"/>
              </w:rPr>
            </w:pPr>
          </w:p>
        </w:tc>
        <w:tc>
          <w:tcPr>
            <w:tcW w:w="11223"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公司通过内审、管评及实施不符合纠正等方法来完善和持续发展公司的管理体系。公司负责人说主要承诺有：</w:t>
            </w:r>
          </w:p>
          <w:p>
            <w:pPr>
              <w:spacing w:line="280" w:lineRule="exact"/>
              <w:rPr>
                <w:rFonts w:ascii="宋体" w:hAnsi="宋体" w:cs="宋体"/>
                <w:color w:val="auto"/>
                <w:szCs w:val="21"/>
              </w:rPr>
            </w:pPr>
            <w:r>
              <w:rPr>
                <w:rFonts w:hint="eastAsia" w:ascii="宋体" w:hAnsi="宋体" w:cs="宋体"/>
                <w:color w:val="auto"/>
                <w:szCs w:val="21"/>
              </w:rPr>
              <w:t>1)对管理体系的有效性要承担责任；</w:t>
            </w:r>
          </w:p>
          <w:p>
            <w:pPr>
              <w:spacing w:line="280" w:lineRule="exact"/>
              <w:rPr>
                <w:rFonts w:ascii="宋体" w:hAnsi="宋体" w:cs="宋体"/>
                <w:color w:val="auto"/>
                <w:szCs w:val="21"/>
              </w:rPr>
            </w:pPr>
            <w:r>
              <w:rPr>
                <w:rFonts w:hint="eastAsia" w:ascii="宋体" w:hAnsi="宋体" w:cs="宋体"/>
                <w:color w:val="auto"/>
                <w:szCs w:val="21"/>
              </w:rPr>
              <w:t>2)建立公司管理体系的方针和目标并确保与公司的环境相适应，与公司战略方向保持一致以及方针在公司内得到沟通理解和有效实施； </w:t>
            </w:r>
          </w:p>
          <w:p>
            <w:pPr>
              <w:spacing w:line="280" w:lineRule="exact"/>
              <w:rPr>
                <w:rFonts w:ascii="宋体" w:hAnsi="宋体" w:cs="宋体"/>
                <w:color w:val="auto"/>
                <w:szCs w:val="21"/>
              </w:rPr>
            </w:pPr>
            <w:r>
              <w:rPr>
                <w:rFonts w:hint="eastAsia" w:ascii="宋体" w:hAnsi="宋体" w:cs="宋体"/>
                <w:color w:val="auto"/>
                <w:szCs w:val="21"/>
              </w:rPr>
              <w:t>3）确保管理体系要求融入公司的生产、服务各过程。</w:t>
            </w:r>
          </w:p>
          <w:p>
            <w:pPr>
              <w:spacing w:line="280" w:lineRule="exact"/>
              <w:rPr>
                <w:rFonts w:ascii="宋体" w:hAnsi="宋体" w:cs="宋体"/>
                <w:color w:val="auto"/>
                <w:szCs w:val="21"/>
              </w:rPr>
            </w:pPr>
            <w:r>
              <w:rPr>
                <w:rFonts w:hint="eastAsia" w:ascii="宋体" w:hAnsi="宋体" w:cs="宋体"/>
                <w:color w:val="auto"/>
                <w:szCs w:val="21"/>
              </w:rPr>
              <w:t>4）促进使用过程方法和机遇风险的思维。</w:t>
            </w:r>
          </w:p>
          <w:p>
            <w:pPr>
              <w:spacing w:line="280" w:lineRule="exact"/>
              <w:rPr>
                <w:rFonts w:ascii="宋体" w:hAnsi="宋体" w:cs="宋体"/>
                <w:color w:val="auto"/>
                <w:szCs w:val="21"/>
              </w:rPr>
            </w:pPr>
            <w:r>
              <w:rPr>
                <w:rFonts w:hint="eastAsia" w:ascii="宋体" w:hAnsi="宋体" w:cs="宋体"/>
                <w:color w:val="auto"/>
                <w:szCs w:val="21"/>
              </w:rPr>
              <w:t>5)建立合理的公司组织结构,确保管理体系所需资源能被获得；</w:t>
            </w:r>
          </w:p>
          <w:p>
            <w:pPr>
              <w:spacing w:line="280" w:lineRule="exact"/>
              <w:rPr>
                <w:rFonts w:ascii="宋体" w:hAnsi="宋体" w:cs="宋体"/>
                <w:color w:val="auto"/>
                <w:szCs w:val="21"/>
              </w:rPr>
            </w:pPr>
            <w:r>
              <w:rPr>
                <w:rFonts w:hint="eastAsia" w:ascii="宋体" w:hAnsi="宋体" w:cs="宋体"/>
                <w:color w:val="auto"/>
                <w:szCs w:val="21"/>
              </w:rPr>
              <w:t>6)建立良好的沟通机制，杜绝因沟通影响管理体系运行有效性；</w:t>
            </w:r>
          </w:p>
          <w:p>
            <w:pPr>
              <w:spacing w:line="280" w:lineRule="exact"/>
              <w:rPr>
                <w:rFonts w:ascii="宋体" w:hAnsi="宋体" w:cs="宋体"/>
                <w:color w:val="auto"/>
                <w:szCs w:val="21"/>
              </w:rPr>
            </w:pPr>
            <w:r>
              <w:rPr>
                <w:rFonts w:hint="eastAsia" w:ascii="宋体" w:hAnsi="宋体" w:cs="宋体"/>
                <w:color w:val="auto"/>
                <w:szCs w:val="21"/>
              </w:rPr>
              <w:t>7）确保管理体系实现其预期的结果。</w:t>
            </w:r>
          </w:p>
          <w:p>
            <w:pPr>
              <w:spacing w:line="280" w:lineRule="exact"/>
              <w:rPr>
                <w:rFonts w:ascii="宋体" w:hAnsi="宋体" w:cs="宋体"/>
                <w:color w:val="auto"/>
                <w:szCs w:val="21"/>
              </w:rPr>
            </w:pPr>
            <w:r>
              <w:rPr>
                <w:rFonts w:hint="eastAsia" w:ascii="宋体" w:hAnsi="宋体" w:cs="宋体"/>
                <w:color w:val="auto"/>
                <w:szCs w:val="21"/>
              </w:rPr>
              <w:t>8)促使员工积极参与，指导和支持他们为公司管理体系的有效性作出贡献。</w:t>
            </w:r>
          </w:p>
          <w:p>
            <w:pPr>
              <w:spacing w:line="280" w:lineRule="exact"/>
              <w:rPr>
                <w:rFonts w:ascii="宋体" w:hAnsi="宋体" w:cs="宋体"/>
                <w:color w:val="auto"/>
                <w:szCs w:val="21"/>
              </w:rPr>
            </w:pPr>
            <w:r>
              <w:rPr>
                <w:rFonts w:hint="eastAsia" w:ascii="宋体" w:hAnsi="宋体" w:cs="宋体"/>
                <w:color w:val="auto"/>
                <w:szCs w:val="21"/>
              </w:rPr>
              <w:t>9）推动公司改进和创新；</w:t>
            </w:r>
          </w:p>
          <w:p>
            <w:pPr>
              <w:spacing w:line="280" w:lineRule="exact"/>
              <w:rPr>
                <w:rFonts w:ascii="宋体" w:hAnsi="宋体" w:cs="宋体"/>
                <w:color w:val="auto"/>
                <w:szCs w:val="21"/>
              </w:rPr>
            </w:pPr>
            <w:r>
              <w:rPr>
                <w:rFonts w:hint="eastAsia" w:ascii="宋体" w:hAnsi="宋体" w:cs="宋体"/>
                <w:color w:val="auto"/>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color w:val="auto"/>
                <w:szCs w:val="21"/>
              </w:rPr>
            </w:pPr>
            <w:r>
              <w:rPr>
                <w:rFonts w:hint="eastAsia" w:ascii="宋体" w:hAnsi="宋体" w:cs="宋体"/>
                <w:color w:val="auto"/>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color w:val="auto"/>
                <w:sz w:val="24"/>
                <w:szCs w:val="24"/>
              </w:rPr>
            </w:pPr>
            <w:r>
              <w:rPr>
                <w:rFonts w:hint="eastAsia" w:ascii="宋体" w:hAnsi="宋体" w:cs="宋体"/>
                <w:color w:val="auto"/>
                <w:szCs w:val="21"/>
              </w:rPr>
              <w:t>承诺基本实现，没有违反的情况发生。</w:t>
            </w:r>
          </w:p>
        </w:tc>
        <w:tc>
          <w:tcPr>
            <w:tcW w:w="760" w:type="dxa"/>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以顾客为关注焦点</w:t>
            </w:r>
          </w:p>
          <w:p>
            <w:pPr>
              <w:spacing w:line="280" w:lineRule="exact"/>
              <w:rPr>
                <w:rFonts w:ascii="宋体" w:hAnsi="宋体" w:cs="宋体"/>
                <w:color w:val="auto"/>
                <w:sz w:val="24"/>
                <w:szCs w:val="24"/>
              </w:rPr>
            </w:pPr>
          </w:p>
        </w:tc>
        <w:tc>
          <w:tcPr>
            <w:tcW w:w="1019" w:type="dxa"/>
          </w:tcPr>
          <w:p>
            <w:pPr>
              <w:spacing w:line="280" w:lineRule="exact"/>
              <w:rPr>
                <w:rFonts w:ascii="宋体" w:hAnsi="宋体" w:cs="宋体"/>
                <w:color w:val="auto"/>
                <w:szCs w:val="21"/>
              </w:rPr>
            </w:pPr>
            <w:r>
              <w:rPr>
                <w:rFonts w:hint="eastAsia" w:ascii="宋体" w:hAnsi="宋体" w:cs="宋体"/>
                <w:color w:val="auto"/>
                <w:szCs w:val="21"/>
              </w:rPr>
              <w:t>Q5.1.2</w:t>
            </w:r>
          </w:p>
          <w:p>
            <w:pPr>
              <w:spacing w:line="280" w:lineRule="exact"/>
              <w:rPr>
                <w:rFonts w:ascii="宋体" w:hAnsi="宋体" w:cs="宋体"/>
                <w:color w:val="auto"/>
                <w:sz w:val="24"/>
                <w:szCs w:val="24"/>
              </w:rPr>
            </w:pPr>
          </w:p>
        </w:tc>
        <w:tc>
          <w:tcPr>
            <w:tcW w:w="11223"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总经理证实其以顾客为关注焦点的领导作用和承诺，通过以下方面实现：</w:t>
            </w:r>
          </w:p>
          <w:p>
            <w:pPr>
              <w:spacing w:line="280" w:lineRule="exact"/>
              <w:ind w:firstLine="420" w:firstLineChars="200"/>
              <w:rPr>
                <w:rFonts w:ascii="宋体" w:hAnsi="宋体" w:cs="宋体"/>
                <w:color w:val="auto"/>
                <w:szCs w:val="21"/>
              </w:rPr>
            </w:pPr>
            <w:r>
              <w:rPr>
                <w:rFonts w:hint="eastAsia" w:ascii="宋体" w:hAnsi="宋体" w:cs="宋体"/>
                <w:color w:val="auto"/>
                <w:szCs w:val="21"/>
              </w:rPr>
              <w:t>a) 确定、理解并持续满足顾客要求以及适用的法律法规要求；</w:t>
            </w:r>
          </w:p>
          <w:p>
            <w:pPr>
              <w:spacing w:line="280" w:lineRule="exact"/>
              <w:ind w:firstLine="420" w:firstLineChars="200"/>
              <w:rPr>
                <w:rFonts w:ascii="宋体" w:hAnsi="宋体" w:cs="宋体"/>
                <w:color w:val="auto"/>
                <w:szCs w:val="21"/>
              </w:rPr>
            </w:pPr>
            <w:r>
              <w:rPr>
                <w:rFonts w:hint="eastAsia" w:ascii="宋体" w:hAnsi="宋体" w:cs="宋体"/>
                <w:color w:val="auto"/>
                <w:szCs w:val="21"/>
              </w:rPr>
              <w:t>b) 确定和应对能够影响产品、产品符合性以及增强顾客满意能力的风险和机遇；</w:t>
            </w:r>
          </w:p>
          <w:p>
            <w:pPr>
              <w:spacing w:line="280" w:lineRule="exact"/>
              <w:ind w:firstLine="420" w:firstLineChars="200"/>
              <w:rPr>
                <w:rFonts w:ascii="宋体" w:hAnsi="宋体" w:cs="宋体"/>
                <w:color w:val="auto"/>
                <w:szCs w:val="21"/>
              </w:rPr>
            </w:pPr>
            <w:r>
              <w:rPr>
                <w:rFonts w:hint="eastAsia" w:ascii="宋体" w:hAnsi="宋体" w:cs="宋体"/>
                <w:color w:val="auto"/>
                <w:szCs w:val="21"/>
              </w:rPr>
              <w:t>c) 始终致力于增强顾客满意。</w:t>
            </w:r>
          </w:p>
          <w:p>
            <w:pPr>
              <w:spacing w:line="280" w:lineRule="exact"/>
              <w:ind w:firstLine="420" w:firstLineChars="200"/>
              <w:rPr>
                <w:rFonts w:ascii="宋体" w:hAnsi="宋体" w:cs="宋体"/>
                <w:color w:val="auto"/>
                <w:sz w:val="24"/>
                <w:szCs w:val="24"/>
              </w:rPr>
            </w:pPr>
            <w:r>
              <w:rPr>
                <w:rFonts w:hint="eastAsia" w:ascii="宋体" w:hAnsi="宋体" w:cs="宋体"/>
                <w:color w:val="auto"/>
                <w:szCs w:val="21"/>
              </w:rPr>
              <w:t>详见审核Q9.1.2条款记录。</w:t>
            </w:r>
          </w:p>
        </w:tc>
        <w:tc>
          <w:tcPr>
            <w:tcW w:w="760" w:type="dxa"/>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方针</w:t>
            </w:r>
          </w:p>
          <w:p>
            <w:pPr>
              <w:spacing w:line="280" w:lineRule="exact"/>
              <w:rPr>
                <w:rFonts w:ascii="宋体" w:hAnsi="宋体" w:cs="宋体"/>
                <w:color w:val="auto"/>
                <w:szCs w:val="21"/>
              </w:rPr>
            </w:pPr>
            <w:r>
              <w:rPr>
                <w:rFonts w:hint="eastAsia" w:ascii="宋体" w:hAnsi="宋体" w:cs="宋体"/>
                <w:color w:val="auto"/>
                <w:szCs w:val="21"/>
              </w:rPr>
              <w:t>制定方针</w:t>
            </w:r>
          </w:p>
          <w:p>
            <w:pPr>
              <w:spacing w:line="280" w:lineRule="exact"/>
              <w:rPr>
                <w:rFonts w:ascii="宋体" w:hAnsi="宋体" w:cs="宋体"/>
                <w:color w:val="auto"/>
                <w:sz w:val="24"/>
                <w:szCs w:val="24"/>
              </w:rPr>
            </w:pPr>
            <w:r>
              <w:rPr>
                <w:rFonts w:hint="eastAsia" w:ascii="宋体" w:hAnsi="宋体" w:cs="宋体"/>
                <w:color w:val="auto"/>
                <w:szCs w:val="21"/>
              </w:rPr>
              <w:t>沟通方针</w:t>
            </w:r>
          </w:p>
        </w:tc>
        <w:tc>
          <w:tcPr>
            <w:tcW w:w="1019" w:type="dxa"/>
          </w:tcPr>
          <w:p>
            <w:pPr>
              <w:spacing w:line="28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5.2</w:t>
            </w:r>
          </w:p>
          <w:p>
            <w:pPr>
              <w:snapToGrid w:val="0"/>
              <w:spacing w:line="280" w:lineRule="exact"/>
              <w:rPr>
                <w:color w:val="auto"/>
                <w:szCs w:val="21"/>
              </w:rPr>
            </w:pPr>
          </w:p>
          <w:p>
            <w:pPr>
              <w:spacing w:line="280" w:lineRule="exact"/>
              <w:rPr>
                <w:rFonts w:ascii="宋体" w:hAnsi="宋体" w:cs="宋体"/>
                <w:color w:val="auto"/>
                <w:szCs w:val="21"/>
              </w:rPr>
            </w:pPr>
          </w:p>
          <w:p>
            <w:pPr>
              <w:spacing w:line="280" w:lineRule="exact"/>
              <w:rPr>
                <w:rFonts w:ascii="宋体" w:hAnsi="宋体" w:cs="宋体"/>
                <w:color w:val="auto"/>
                <w:sz w:val="24"/>
                <w:szCs w:val="24"/>
              </w:rPr>
            </w:pPr>
          </w:p>
        </w:tc>
        <w:tc>
          <w:tcPr>
            <w:tcW w:w="11223"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该公司管理方针为：“顾客至上、诚信守法 持续改进、科学管理 节能降耗、安全第一</w:t>
            </w:r>
          </w:p>
          <w:p>
            <w:pPr>
              <w:spacing w:line="280" w:lineRule="exact"/>
              <w:ind w:firstLine="420" w:firstLineChars="200"/>
              <w:rPr>
                <w:rFonts w:ascii="宋体" w:hAnsi="宋体" w:cs="宋体"/>
                <w:color w:val="auto"/>
                <w:szCs w:val="21"/>
              </w:rPr>
            </w:pPr>
            <w:r>
              <w:rPr>
                <w:rFonts w:hint="eastAsia" w:ascii="宋体" w:hAnsi="宋体" w:cs="宋体"/>
                <w:color w:val="auto"/>
                <w:szCs w:val="21"/>
              </w:rPr>
              <w:t>珍惜环境、和谐发展。”</w:t>
            </w:r>
          </w:p>
          <w:p>
            <w:pPr>
              <w:spacing w:line="280" w:lineRule="exact"/>
              <w:ind w:firstLine="420" w:firstLineChars="200"/>
              <w:rPr>
                <w:rFonts w:ascii="宋体" w:hAnsi="宋体" w:cs="宋体"/>
                <w:color w:val="auto"/>
                <w:szCs w:val="21"/>
              </w:rPr>
            </w:pPr>
            <w:r>
              <w:rPr>
                <w:rFonts w:hint="eastAsia" w:ascii="宋体" w:hAnsi="宋体" w:cs="宋体"/>
                <w:color w:val="auto"/>
                <w:szCs w:val="21"/>
              </w:rPr>
              <w:t>公司以质量、环境、职业健康安全标准为基础结合公司实际特制定管理方针。与总经理任世英进行交谈，总经理对方针内涵的理解较深刻。方针能为制定目标提供框架，方针基本符合标准的要求。</w:t>
            </w:r>
          </w:p>
          <w:p>
            <w:pPr>
              <w:spacing w:line="280" w:lineRule="exact"/>
              <w:ind w:firstLine="420" w:firstLineChars="200"/>
              <w:rPr>
                <w:rFonts w:ascii="宋体" w:hAnsi="宋体" w:cs="宋体"/>
                <w:color w:val="auto"/>
                <w:szCs w:val="21"/>
              </w:rPr>
            </w:pPr>
            <w:r>
              <w:rPr>
                <w:rFonts w:hint="eastAsia" w:ascii="宋体" w:hAnsi="宋体" w:cs="宋体"/>
                <w:color w:val="auto"/>
                <w:szCs w:val="21"/>
              </w:rPr>
              <w:t>总经理用会议、文件等方法保证管理方针为全体员工理解并落实到工作中。任世英总经理说管理评审时对方针的持续适宜性进行了评审，有评审记录。</w:t>
            </w:r>
          </w:p>
          <w:p>
            <w:pPr>
              <w:spacing w:line="280" w:lineRule="exact"/>
              <w:ind w:firstLine="420" w:firstLineChars="200"/>
              <w:rPr>
                <w:rFonts w:ascii="宋体" w:hAnsi="宋体" w:cs="宋体"/>
                <w:color w:val="auto"/>
                <w:szCs w:val="21"/>
              </w:rPr>
            </w:pPr>
            <w:r>
              <w:rPr>
                <w:rFonts w:hint="eastAsia" w:ascii="宋体" w:hAnsi="宋体" w:cs="宋体"/>
                <w:color w:val="auto"/>
                <w:szCs w:val="21"/>
              </w:rPr>
              <w:t>以上管理方针通过文件、培训等形式将公司管理方针传达给所有为公司工作或代表公司的人员，相关方也可通过行政部获取公司管理方针。</w:t>
            </w:r>
          </w:p>
        </w:tc>
        <w:tc>
          <w:tcPr>
            <w:tcW w:w="760" w:type="dxa"/>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组织的岗位、职责和权限</w:t>
            </w:r>
          </w:p>
          <w:p>
            <w:pPr>
              <w:spacing w:line="280" w:lineRule="exact"/>
              <w:rPr>
                <w:rFonts w:ascii="宋体" w:hAnsi="宋体" w:cs="宋体"/>
                <w:color w:val="auto"/>
                <w:sz w:val="24"/>
                <w:szCs w:val="24"/>
              </w:rPr>
            </w:pPr>
          </w:p>
        </w:tc>
        <w:tc>
          <w:tcPr>
            <w:tcW w:w="1019" w:type="dxa"/>
          </w:tcPr>
          <w:p>
            <w:pPr>
              <w:spacing w:line="280" w:lineRule="exact"/>
              <w:rPr>
                <w:rFonts w:ascii="宋体" w:cs="宋体"/>
                <w:color w:val="auto"/>
                <w:szCs w:val="21"/>
              </w:rPr>
            </w:pPr>
            <w:r>
              <w:rPr>
                <w:rFonts w:ascii="宋体" w:cs="宋体"/>
                <w:color w:val="auto"/>
                <w:szCs w:val="21"/>
              </w:rPr>
              <w:t>QE</w:t>
            </w:r>
            <w:r>
              <w:rPr>
                <w:rFonts w:hint="eastAsia" w:ascii="宋体" w:cs="宋体"/>
                <w:color w:val="auto"/>
                <w:szCs w:val="21"/>
              </w:rPr>
              <w:t>O</w:t>
            </w:r>
            <w:r>
              <w:rPr>
                <w:rFonts w:ascii="宋体" w:cs="宋体"/>
                <w:color w:val="auto"/>
                <w:szCs w:val="21"/>
              </w:rPr>
              <w:t>5.3</w:t>
            </w:r>
          </w:p>
          <w:p>
            <w:pPr>
              <w:spacing w:line="280" w:lineRule="exact"/>
              <w:rPr>
                <w:rFonts w:ascii="宋体" w:hAnsi="宋体" w:cs="宋体"/>
                <w:color w:val="auto"/>
                <w:sz w:val="24"/>
                <w:szCs w:val="24"/>
              </w:rPr>
            </w:pPr>
          </w:p>
        </w:tc>
        <w:tc>
          <w:tcPr>
            <w:tcW w:w="11223"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李秀云为管理体系的管理者代表。其职责和权限规定如下：</w:t>
            </w:r>
          </w:p>
          <w:p>
            <w:pPr>
              <w:spacing w:line="280" w:lineRule="exact"/>
              <w:ind w:firstLine="420" w:firstLineChars="200"/>
              <w:rPr>
                <w:rFonts w:ascii="宋体" w:hAnsi="宋体" w:cs="宋体"/>
                <w:color w:val="auto"/>
                <w:szCs w:val="21"/>
              </w:rPr>
            </w:pPr>
            <w:r>
              <w:rPr>
                <w:rFonts w:hint="eastAsia" w:ascii="宋体" w:hAnsi="宋体" w:cs="宋体"/>
                <w:color w:val="auto"/>
                <w:szCs w:val="21"/>
              </w:rPr>
              <w:t>确保本公司管理体系所需的过程得到建立、实施和保持，代表总经理行使职权；</w:t>
            </w:r>
          </w:p>
          <w:p>
            <w:pPr>
              <w:spacing w:line="280" w:lineRule="exact"/>
              <w:ind w:firstLine="420" w:firstLineChars="200"/>
              <w:rPr>
                <w:rFonts w:ascii="宋体" w:hAnsi="宋体" w:cs="宋体"/>
                <w:color w:val="auto"/>
                <w:szCs w:val="21"/>
              </w:rPr>
            </w:pPr>
            <w:r>
              <w:rPr>
                <w:rFonts w:hint="eastAsia" w:ascii="宋体" w:hAnsi="宋体" w:cs="宋体"/>
                <w:color w:val="auto"/>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color w:val="auto"/>
                <w:sz w:val="24"/>
                <w:szCs w:val="24"/>
              </w:rPr>
            </w:pPr>
            <w:r>
              <w:rPr>
                <w:rFonts w:hint="eastAsia" w:ascii="宋体" w:hAnsi="宋体" w:cs="宋体"/>
                <w:color w:val="auto"/>
                <w:szCs w:val="21"/>
              </w:rPr>
              <w:t>询问管代职责回答正确。</w:t>
            </w:r>
          </w:p>
        </w:tc>
        <w:tc>
          <w:tcPr>
            <w:tcW w:w="760" w:type="dxa"/>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应对风险和机遇的措施</w:t>
            </w:r>
          </w:p>
          <w:p>
            <w:pPr>
              <w:spacing w:line="280" w:lineRule="exact"/>
              <w:rPr>
                <w:rFonts w:ascii="宋体" w:hAnsi="宋体" w:cs="宋体"/>
                <w:color w:val="auto"/>
                <w:sz w:val="24"/>
                <w:szCs w:val="24"/>
              </w:rPr>
            </w:pPr>
          </w:p>
        </w:tc>
        <w:tc>
          <w:tcPr>
            <w:tcW w:w="1019" w:type="dxa"/>
          </w:tcPr>
          <w:p>
            <w:pPr>
              <w:spacing w:line="280" w:lineRule="exact"/>
              <w:rPr>
                <w:color w:val="auto"/>
                <w:szCs w:val="21"/>
              </w:rPr>
            </w:pPr>
            <w:r>
              <w:rPr>
                <w:rFonts w:hint="eastAsia"/>
                <w:color w:val="auto"/>
                <w:szCs w:val="21"/>
              </w:rPr>
              <w:t>Q6.1</w:t>
            </w:r>
          </w:p>
          <w:p>
            <w:pPr>
              <w:spacing w:line="280" w:lineRule="exact"/>
              <w:rPr>
                <w:color w:val="auto"/>
                <w:szCs w:val="21"/>
              </w:rPr>
            </w:pPr>
            <w:r>
              <w:rPr>
                <w:rFonts w:hint="eastAsia"/>
                <w:color w:val="auto"/>
                <w:szCs w:val="21"/>
              </w:rPr>
              <w:t>E6.1.1</w:t>
            </w:r>
          </w:p>
          <w:p>
            <w:pPr>
              <w:spacing w:line="280" w:lineRule="exact"/>
              <w:rPr>
                <w:color w:val="auto"/>
                <w:szCs w:val="21"/>
              </w:rPr>
            </w:pPr>
          </w:p>
          <w:p>
            <w:pPr>
              <w:spacing w:line="280" w:lineRule="exact"/>
              <w:rPr>
                <w:rFonts w:ascii="宋体" w:hAnsi="宋体" w:cs="宋体"/>
                <w:color w:val="auto"/>
                <w:sz w:val="24"/>
                <w:szCs w:val="24"/>
              </w:rPr>
            </w:pPr>
          </w:p>
        </w:tc>
        <w:tc>
          <w:tcPr>
            <w:tcW w:w="11223"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1.外部因素主要有：a)社会和文化、政治、法律、监管、金融、技术、经济、自然环境和市场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color w:val="auto"/>
                <w:szCs w:val="21"/>
              </w:rPr>
            </w:pPr>
            <w:r>
              <w:rPr>
                <w:rFonts w:hint="eastAsia" w:ascii="宋体" w:hAnsi="宋体" w:cs="宋体"/>
                <w:color w:val="auto"/>
                <w:szCs w:val="21"/>
              </w:rPr>
              <w:t>2.内部因素包括：a)组织机构，角色和责任；b)政策、目标、实现目标的战略；c)能力、资源和知识（资本、时间、人、能力、流程、系统和技术等）；d)内部利益相关者的价值观与组织文化之间的关系；e)信息系统、信息流和决策流程；f)</w:t>
            </w:r>
            <w:r>
              <w:rPr>
                <w:rFonts w:hint="eastAsia" w:ascii="宋体" w:hAnsi="宋体"/>
                <w:color w:val="auto"/>
                <w:szCs w:val="21"/>
              </w:rPr>
              <w:t>物业服务生产</w:t>
            </w:r>
            <w:r>
              <w:rPr>
                <w:rFonts w:hint="eastAsia" w:ascii="宋体" w:hAnsi="宋体" w:cs="宋体"/>
                <w:color w:val="auto"/>
                <w:szCs w:val="21"/>
              </w:rPr>
              <w:t>的控制过程。</w:t>
            </w:r>
          </w:p>
          <w:p>
            <w:pPr>
              <w:spacing w:line="280" w:lineRule="exact"/>
              <w:ind w:firstLine="420" w:firstLineChars="200"/>
              <w:rPr>
                <w:rFonts w:ascii="宋体" w:hAnsi="宋体" w:cs="宋体"/>
                <w:color w:val="auto"/>
                <w:sz w:val="24"/>
                <w:szCs w:val="24"/>
              </w:rPr>
            </w:pPr>
            <w:r>
              <w:rPr>
                <w:rFonts w:hint="eastAsia" w:ascii="宋体" w:hAnsi="宋体" w:cs="宋体"/>
                <w:color w:val="auto"/>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客户开发、供应商的要求等）中，整合制定针对性管理措施（如程序控制等）。已认真交流风险如战略失误、环保及人力资源紧缺和成本上升、竞争不断加剧等，主要措施确定战略应更加科学严谨；通过提高管理水平和自动智能化程度消化人力资源紧缺和成本上升；加强自动化设备采购、服务环节环保控制，同时加强管理检查；通过差异化策略提高竞争力。效果待观察。机遇主要是现在社会需求不断增多。</w:t>
            </w:r>
          </w:p>
        </w:tc>
        <w:tc>
          <w:tcPr>
            <w:tcW w:w="760" w:type="dxa"/>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07" w:type="dxa"/>
          </w:tcPr>
          <w:p>
            <w:pPr>
              <w:spacing w:line="280" w:lineRule="exact"/>
              <w:rPr>
                <w:color w:val="auto"/>
                <w:szCs w:val="21"/>
              </w:rPr>
            </w:pPr>
            <w:r>
              <w:rPr>
                <w:rFonts w:hint="eastAsia" w:cs="宋体"/>
                <w:color w:val="auto"/>
                <w:szCs w:val="21"/>
              </w:rPr>
              <w:t>措施的策划</w:t>
            </w:r>
          </w:p>
          <w:p>
            <w:pPr>
              <w:spacing w:line="280" w:lineRule="exact"/>
              <w:rPr>
                <w:rFonts w:ascii="宋体" w:hAnsi="宋体" w:cs="宋体"/>
                <w:color w:val="auto"/>
                <w:sz w:val="24"/>
                <w:szCs w:val="24"/>
              </w:rPr>
            </w:pPr>
          </w:p>
        </w:tc>
        <w:tc>
          <w:tcPr>
            <w:tcW w:w="1019" w:type="dxa"/>
          </w:tcPr>
          <w:p>
            <w:pPr>
              <w:spacing w:line="280" w:lineRule="exact"/>
              <w:rPr>
                <w:color w:val="auto"/>
                <w:szCs w:val="21"/>
              </w:rPr>
            </w:pPr>
            <w:r>
              <w:rPr>
                <w:rFonts w:hint="eastAsia"/>
                <w:color w:val="auto"/>
                <w:szCs w:val="21"/>
              </w:rPr>
              <w:t>E6.1.4</w:t>
            </w:r>
          </w:p>
          <w:p>
            <w:pPr>
              <w:spacing w:line="280" w:lineRule="exact"/>
              <w:rPr>
                <w:rFonts w:ascii="宋体" w:hAnsi="宋体" w:cs="宋体"/>
                <w:color w:val="auto"/>
                <w:sz w:val="24"/>
                <w:szCs w:val="24"/>
              </w:rPr>
            </w:pPr>
          </w:p>
        </w:tc>
        <w:tc>
          <w:tcPr>
            <w:tcW w:w="11223" w:type="dxa"/>
            <w:vAlign w:val="center"/>
          </w:tcPr>
          <w:p>
            <w:pPr>
              <w:spacing w:line="280" w:lineRule="exact"/>
              <w:ind w:firstLine="420" w:firstLineChars="200"/>
              <w:rPr>
                <w:rFonts w:ascii="宋体" w:hAnsi="宋体" w:cs="宋体"/>
                <w:color w:val="auto"/>
                <w:sz w:val="24"/>
                <w:szCs w:val="24"/>
              </w:rPr>
            </w:pPr>
            <w:r>
              <w:rPr>
                <w:rFonts w:hint="eastAsia" w:ascii="宋体" w:hAnsi="宋体" w:cs="宋体"/>
                <w:color w:val="auto"/>
                <w:szCs w:val="21"/>
              </w:rPr>
              <w:t>行政部负责制定环境管理体系目标及管理方案，管理方案中明确为实现环境目标和指标的责任部门及完成时间；具体措施和经费预算都由总经理批准。环境管理方案的实施行政部每半年对方案实施情况进行检查跟踪向总经理报告；一般在管理评审之前对环境目标及管理方案由行政部对其进行评审，并将完成情况以书面形式呈报管理者代表，以便提交管理评审。</w:t>
            </w:r>
          </w:p>
        </w:tc>
        <w:tc>
          <w:tcPr>
            <w:tcW w:w="760" w:type="dxa"/>
          </w:tcPr>
          <w:p>
            <w:pPr>
              <w:spacing w:line="320" w:lineRule="exac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管理目标及其实现的策划</w:t>
            </w:r>
          </w:p>
          <w:p>
            <w:pPr>
              <w:spacing w:line="280" w:lineRule="exact"/>
              <w:rPr>
                <w:color w:val="auto"/>
              </w:rPr>
            </w:pPr>
          </w:p>
        </w:tc>
        <w:tc>
          <w:tcPr>
            <w:tcW w:w="1019" w:type="dxa"/>
          </w:tcPr>
          <w:p>
            <w:pPr>
              <w:spacing w:line="280" w:lineRule="exact"/>
              <w:rPr>
                <w:color w:val="auto"/>
                <w:szCs w:val="21"/>
              </w:rPr>
            </w:pPr>
            <w:r>
              <w:rPr>
                <w:rFonts w:hint="eastAsia"/>
                <w:color w:val="auto"/>
                <w:szCs w:val="21"/>
              </w:rPr>
              <w:t>QE</w:t>
            </w:r>
            <w:r>
              <w:rPr>
                <w:rFonts w:hint="eastAsia"/>
                <w:color w:val="auto"/>
                <w:szCs w:val="21"/>
                <w:lang w:val="en-US" w:eastAsia="zh-CN"/>
              </w:rPr>
              <w:t xml:space="preserve">O </w:t>
            </w:r>
            <w:r>
              <w:rPr>
                <w:rFonts w:hint="eastAsia"/>
                <w:color w:val="auto"/>
                <w:szCs w:val="21"/>
              </w:rPr>
              <w:t>6.2</w:t>
            </w:r>
          </w:p>
          <w:p>
            <w:pPr>
              <w:spacing w:line="280" w:lineRule="exact"/>
              <w:rPr>
                <w:color w:val="auto"/>
                <w:szCs w:val="21"/>
              </w:rPr>
            </w:pPr>
          </w:p>
          <w:p>
            <w:pPr>
              <w:spacing w:line="280" w:lineRule="exact"/>
              <w:rPr>
                <w:color w:val="auto"/>
              </w:rPr>
            </w:pPr>
          </w:p>
        </w:tc>
        <w:tc>
          <w:tcPr>
            <w:tcW w:w="11223"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color w:val="auto"/>
                <w:szCs w:val="21"/>
              </w:rPr>
            </w:pPr>
            <w:r>
              <w:rPr>
                <w:rFonts w:hint="eastAsia" w:ascii="宋体" w:hAnsi="宋体" w:cs="宋体"/>
                <w:color w:val="auto"/>
                <w:szCs w:val="21"/>
              </w:rPr>
              <w:t>公司对管理体系所需的相关职能、层次和过程设定管理目标。</w:t>
            </w:r>
          </w:p>
          <w:p>
            <w:pPr>
              <w:spacing w:line="280" w:lineRule="exact"/>
              <w:ind w:firstLine="420" w:firstLineChars="200"/>
              <w:rPr>
                <w:rFonts w:ascii="宋体" w:hAnsi="宋体" w:cs="宋体"/>
                <w:color w:val="auto"/>
                <w:szCs w:val="21"/>
              </w:rPr>
            </w:pPr>
            <w:r>
              <w:rPr>
                <w:rFonts w:hint="eastAsia" w:ascii="宋体" w:hAnsi="宋体" w:cs="宋体"/>
                <w:color w:val="auto"/>
                <w:szCs w:val="21"/>
              </w:rPr>
              <w:t>管理目标是：</w:t>
            </w:r>
          </w:p>
          <w:p>
            <w:pPr>
              <w:rPr>
                <w:color w:val="auto"/>
              </w:rPr>
            </w:pPr>
            <w:r>
              <w:rPr>
                <w:color w:val="auto"/>
              </w:rPr>
              <w:t>1、顾客满意度≥90分；</w:t>
            </w:r>
          </w:p>
          <w:p>
            <w:pPr>
              <w:rPr>
                <w:color w:val="auto"/>
              </w:rPr>
            </w:pPr>
            <w:r>
              <w:rPr>
                <w:color w:val="auto"/>
              </w:rPr>
              <w:t>2、客户投诉处理率100%</w:t>
            </w:r>
          </w:p>
          <w:p>
            <w:pPr>
              <w:rPr>
                <w:color w:val="auto"/>
              </w:rPr>
            </w:pPr>
            <w:r>
              <w:rPr>
                <w:color w:val="auto"/>
              </w:rPr>
              <w:t>3、火灾事故为0；</w:t>
            </w:r>
          </w:p>
          <w:p>
            <w:pPr>
              <w:rPr>
                <w:color w:val="auto"/>
              </w:rPr>
            </w:pPr>
            <w:r>
              <w:rPr>
                <w:color w:val="auto"/>
              </w:rPr>
              <w:t>4、固废分类回收率100%</w:t>
            </w:r>
          </w:p>
          <w:p>
            <w:pPr>
              <w:rPr>
                <w:color w:val="auto"/>
              </w:rPr>
            </w:pPr>
            <w:r>
              <w:rPr>
                <w:color w:val="auto"/>
              </w:rPr>
              <w:t>5、人身伤害事故为0</w:t>
            </w:r>
          </w:p>
          <w:p>
            <w:pPr>
              <w:spacing w:line="280" w:lineRule="exact"/>
              <w:ind w:firstLine="420" w:firstLineChars="200"/>
              <w:rPr>
                <w:rFonts w:ascii="宋体" w:hAnsi="宋体" w:cs="宋体"/>
                <w:color w:val="auto"/>
                <w:szCs w:val="21"/>
              </w:rPr>
            </w:pPr>
            <w:r>
              <w:rPr>
                <w:rFonts w:hint="eastAsia" w:ascii="宋体" w:hAnsi="宋体" w:cs="宋体"/>
                <w:color w:val="auto"/>
                <w:szCs w:val="21"/>
              </w:rPr>
              <w:t>目标可测量，与公司管理方针一致。</w:t>
            </w:r>
          </w:p>
          <w:p>
            <w:pPr>
              <w:spacing w:line="280" w:lineRule="exact"/>
              <w:ind w:firstLine="420" w:firstLineChars="200"/>
              <w:rPr>
                <w:rFonts w:ascii="宋体" w:hAnsi="宋体" w:cs="宋体"/>
                <w:color w:val="auto"/>
                <w:szCs w:val="21"/>
              </w:rPr>
            </w:pPr>
            <w:r>
              <w:rPr>
                <w:rFonts w:hint="eastAsia" w:ascii="宋体" w:hAnsi="宋体" w:cs="宋体"/>
                <w:color w:val="auto"/>
                <w:szCs w:val="21"/>
              </w:rPr>
              <w:t>每半年由行政部按公司管理目标考核要求统计考核公司管理目标完成情况，提交管理评审会议。查到</w:t>
            </w:r>
            <w:r>
              <w:rPr>
                <w:rFonts w:hint="eastAsia" w:ascii="宋体" w:hAnsi="宋体" w:cs="宋体"/>
                <w:color w:val="auto"/>
                <w:szCs w:val="21"/>
                <w:lang w:val="en-US" w:eastAsia="zh-CN"/>
              </w:rPr>
              <w:t>公司</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1-12</w:t>
            </w:r>
            <w:r>
              <w:rPr>
                <w:rFonts w:hint="eastAsia" w:ascii="宋体" w:hAnsi="宋体" w:cs="宋体"/>
                <w:color w:val="auto"/>
                <w:szCs w:val="21"/>
              </w:rPr>
              <w:t>月</w:t>
            </w:r>
            <w:r>
              <w:rPr>
                <w:rFonts w:hint="eastAsia" w:ascii="宋体" w:hAnsi="宋体" w:cs="宋体"/>
                <w:color w:val="auto"/>
                <w:szCs w:val="21"/>
                <w:lang w:eastAsia="zh-CN"/>
              </w:rPr>
              <w:t>；</w:t>
            </w:r>
            <w:r>
              <w:rPr>
                <w:rFonts w:hint="eastAsia" w:ascii="宋体" w:hAnsi="宋体" w:cs="宋体"/>
                <w:color w:val="auto"/>
                <w:szCs w:val="21"/>
                <w:lang w:val="en-US" w:eastAsia="zh-CN"/>
              </w:rPr>
              <w:t>2021年1-3月份</w:t>
            </w:r>
            <w:r>
              <w:rPr>
                <w:rFonts w:hint="eastAsia" w:ascii="宋体" w:hAnsi="宋体" w:cs="宋体"/>
                <w:color w:val="auto"/>
                <w:szCs w:val="21"/>
              </w:rPr>
              <w:t>公司管理目标完成情况，各项目标均已完成，考核人李秀云。</w:t>
            </w:r>
          </w:p>
          <w:p>
            <w:pPr>
              <w:spacing w:line="280" w:lineRule="exact"/>
              <w:ind w:firstLine="420" w:firstLineChars="200"/>
              <w:rPr>
                <w:rFonts w:ascii="宋体" w:hAnsi="宋体" w:cs="宋体"/>
                <w:color w:val="auto"/>
                <w:szCs w:val="21"/>
              </w:rPr>
            </w:pPr>
            <w:r>
              <w:rPr>
                <w:rFonts w:hint="eastAsia" w:ascii="宋体" w:hAnsi="宋体" w:cs="宋体"/>
                <w:color w:val="auto"/>
                <w:szCs w:val="21"/>
              </w:rPr>
              <w:t>针对重要环境因素、重大危险源制订了管理方案并予以实施，基本有效，详见审核项目部该条款记录。</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变更的策划</w:t>
            </w:r>
          </w:p>
          <w:p>
            <w:pPr>
              <w:spacing w:line="280" w:lineRule="exact"/>
              <w:rPr>
                <w:color w:val="auto"/>
              </w:rPr>
            </w:pPr>
          </w:p>
        </w:tc>
        <w:tc>
          <w:tcPr>
            <w:tcW w:w="1019" w:type="dxa"/>
          </w:tcPr>
          <w:p>
            <w:pPr>
              <w:spacing w:line="280" w:lineRule="exact"/>
              <w:rPr>
                <w:color w:val="auto"/>
                <w:szCs w:val="21"/>
              </w:rPr>
            </w:pPr>
            <w:r>
              <w:rPr>
                <w:rFonts w:hint="eastAsia"/>
                <w:color w:val="auto"/>
                <w:szCs w:val="21"/>
              </w:rPr>
              <w:t>Q6.3</w:t>
            </w:r>
          </w:p>
          <w:p>
            <w:pPr>
              <w:spacing w:line="280" w:lineRule="exact"/>
              <w:rPr>
                <w:color w:val="auto"/>
              </w:rPr>
            </w:pPr>
          </w:p>
        </w:tc>
        <w:tc>
          <w:tcPr>
            <w:tcW w:w="11223" w:type="dxa"/>
            <w:vAlign w:val="center"/>
          </w:tcPr>
          <w:p>
            <w:pPr>
              <w:spacing w:line="280" w:lineRule="exact"/>
              <w:rPr>
                <w:rFonts w:ascii="宋体" w:hAnsi="宋体" w:cs="宋体"/>
                <w:color w:val="auto"/>
                <w:szCs w:val="21"/>
              </w:rPr>
            </w:pPr>
            <w:r>
              <w:rPr>
                <w:rFonts w:hint="eastAsia" w:ascii="宋体" w:hAnsi="宋体" w:cs="宋体"/>
                <w:color w:val="auto"/>
                <w:szCs w:val="21"/>
              </w:rPr>
              <w:t xml:space="preserve">  公司确定需要对管理体系进行变更时，应经策划并系统的实施 。公司应考虑：</w:t>
            </w:r>
          </w:p>
          <w:p>
            <w:pPr>
              <w:spacing w:line="280" w:lineRule="exact"/>
              <w:rPr>
                <w:rFonts w:ascii="宋体" w:hAnsi="宋体" w:cs="宋体"/>
                <w:color w:val="auto"/>
                <w:szCs w:val="21"/>
              </w:rPr>
            </w:pPr>
            <w:r>
              <w:rPr>
                <w:rFonts w:hint="eastAsia" w:ascii="宋体" w:hAnsi="宋体" w:cs="宋体"/>
                <w:color w:val="auto"/>
                <w:szCs w:val="21"/>
              </w:rPr>
              <w:t>a) 变更目的及其潜在后果；b) 管理体系的完整性；c) 资源的可获得性；d) 责任和权限的分配与再分配。</w:t>
            </w:r>
          </w:p>
          <w:p>
            <w:pPr>
              <w:spacing w:line="280" w:lineRule="exact"/>
              <w:ind w:firstLine="420" w:firstLineChars="200"/>
              <w:rPr>
                <w:color w:val="auto"/>
              </w:rPr>
            </w:pPr>
            <w:r>
              <w:rPr>
                <w:rFonts w:hint="eastAsia" w:ascii="宋体" w:hAnsi="宋体" w:cs="宋体"/>
                <w:color w:val="auto"/>
                <w:szCs w:val="21"/>
              </w:rPr>
              <w:t>公司目前对管理体系暂无变更。</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资源、总则</w:t>
            </w:r>
          </w:p>
          <w:p>
            <w:pPr>
              <w:spacing w:line="280" w:lineRule="exact"/>
              <w:rPr>
                <w:color w:val="auto"/>
              </w:rPr>
            </w:pPr>
          </w:p>
        </w:tc>
        <w:tc>
          <w:tcPr>
            <w:tcW w:w="1019" w:type="dxa"/>
          </w:tcPr>
          <w:p>
            <w:pPr>
              <w:spacing w:line="280" w:lineRule="exact"/>
              <w:rPr>
                <w:color w:val="auto"/>
                <w:szCs w:val="21"/>
              </w:rPr>
            </w:pPr>
            <w:r>
              <w:rPr>
                <w:rFonts w:hint="eastAsia"/>
                <w:color w:val="auto"/>
                <w:szCs w:val="21"/>
              </w:rPr>
              <w:t>Q7.1.1</w:t>
            </w:r>
          </w:p>
          <w:p>
            <w:pPr>
              <w:spacing w:line="280" w:lineRule="exact"/>
              <w:rPr>
                <w:color w:val="auto"/>
                <w:szCs w:val="21"/>
              </w:rPr>
            </w:pPr>
            <w:r>
              <w:rPr>
                <w:rFonts w:hint="eastAsia"/>
                <w:color w:val="auto"/>
                <w:szCs w:val="21"/>
              </w:rPr>
              <w:t>E7.1</w:t>
            </w:r>
          </w:p>
          <w:p>
            <w:pPr>
              <w:spacing w:line="280" w:lineRule="exact"/>
              <w:rPr>
                <w:color w:val="auto"/>
              </w:rPr>
            </w:pPr>
          </w:p>
        </w:tc>
        <w:tc>
          <w:tcPr>
            <w:tcW w:w="11223" w:type="dxa"/>
            <w:vAlign w:val="center"/>
          </w:tcPr>
          <w:p>
            <w:pPr>
              <w:spacing w:line="280" w:lineRule="exact"/>
              <w:ind w:firstLine="420" w:firstLineChars="200"/>
              <w:rPr>
                <w:color w:val="auto"/>
              </w:rPr>
            </w:pPr>
            <w:r>
              <w:rPr>
                <w:rFonts w:hint="eastAsia" w:ascii="宋体" w:hAnsi="宋体" w:cs="宋体"/>
                <w:color w:val="auto"/>
                <w:szCs w:val="21"/>
              </w:rPr>
              <w:t>查公司配备了</w:t>
            </w:r>
            <w:r>
              <w:rPr>
                <w:rFonts w:hint="eastAsia" w:ascii="宋体" w:hAnsi="宋体"/>
                <w:color w:val="auto"/>
                <w:szCs w:val="21"/>
              </w:rPr>
              <w:t>物业服务</w:t>
            </w:r>
            <w:r>
              <w:rPr>
                <w:rFonts w:hint="eastAsia" w:ascii="宋体" w:hAnsi="宋体" w:cs="宋体"/>
                <w:color w:val="auto"/>
                <w:szCs w:val="21"/>
              </w:rPr>
              <w:t>必要的人力资源，基础设施、办公用品、环保、安全设施等及规范文件、资金等必要的资源，能够持续满足顾客需求和管理体系运行改进的需要。</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绩效 总则</w:t>
            </w:r>
          </w:p>
          <w:p>
            <w:pPr>
              <w:spacing w:line="280" w:lineRule="exact"/>
              <w:rPr>
                <w:color w:val="auto"/>
              </w:rPr>
            </w:pPr>
          </w:p>
        </w:tc>
        <w:tc>
          <w:tcPr>
            <w:tcW w:w="1019"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QE</w:t>
            </w:r>
            <w:r>
              <w:rPr>
                <w:rFonts w:hint="eastAsia" w:asciiTheme="minorEastAsia" w:hAnsiTheme="minorEastAsia" w:eastAsiaTheme="minorEastAsia" w:cstheme="minorEastAsia"/>
                <w:color w:val="auto"/>
                <w:szCs w:val="21"/>
                <w:lang w:val="en-US" w:eastAsia="zh-CN"/>
              </w:rPr>
              <w:t>O</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w:t>
            </w:r>
          </w:p>
          <w:p>
            <w:pPr>
              <w:spacing w:line="280" w:lineRule="exact"/>
              <w:rPr>
                <w:color w:val="auto"/>
              </w:rPr>
            </w:pPr>
          </w:p>
        </w:tc>
        <w:tc>
          <w:tcPr>
            <w:tcW w:w="11223" w:type="dxa"/>
            <w:vAlign w:val="center"/>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公司编制了《顾客满意度控制程序》，对清洁服务的质量特性进行监视和测量，以验证其符合要求的程度，确保服务符合要求。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w:t>
            </w:r>
            <w:r>
              <w:rPr>
                <w:rFonts w:hint="eastAsia" w:asciiTheme="minorEastAsia" w:hAnsiTheme="minorEastAsia" w:eastAsiaTheme="minorEastAsia" w:cstheme="minorEastAsia"/>
                <w:color w:val="auto"/>
                <w:szCs w:val="21"/>
                <w:lang w:val="en-US" w:eastAsia="zh-CN"/>
              </w:rPr>
              <w:t>2020年</w:t>
            </w:r>
            <w:r>
              <w:rPr>
                <w:rFonts w:hint="eastAsia" w:asciiTheme="minorEastAsia" w:hAnsiTheme="minorEastAsia" w:eastAsiaTheme="minorEastAsia" w:cstheme="minorEastAsia"/>
                <w:color w:val="auto"/>
                <w:szCs w:val="21"/>
              </w:rPr>
              <w:t>“部门质量目标策划及考核记录表”，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w:t>
            </w:r>
            <w:r>
              <w:rPr>
                <w:rFonts w:hint="eastAsia" w:asciiTheme="minorEastAsia" w:hAnsiTheme="minorEastAsia" w:eastAsiaTheme="minorEastAsia" w:cstheme="minorEastAsia"/>
                <w:color w:val="auto"/>
                <w:szCs w:val="21"/>
                <w:lang w:val="en-US" w:eastAsia="zh-CN"/>
              </w:rPr>
              <w:t>2020年</w:t>
            </w:r>
            <w:r>
              <w:rPr>
                <w:rFonts w:hint="eastAsia" w:asciiTheme="minorEastAsia" w:hAnsiTheme="minorEastAsia" w:eastAsiaTheme="minorEastAsia" w:cstheme="minorEastAsia"/>
                <w:color w:val="auto"/>
                <w:szCs w:val="21"/>
              </w:rPr>
              <w:t>管理目标指标的检查考核工作，均完成目标考核要求。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w:t>
            </w:r>
            <w:r>
              <w:rPr>
                <w:rFonts w:hint="eastAsia" w:asciiTheme="minorEastAsia" w:hAnsiTheme="minorEastAsia" w:eastAsiaTheme="minorEastAsia" w:cstheme="minorEastAsia"/>
                <w:color w:val="auto"/>
                <w:szCs w:val="21"/>
                <w:lang w:val="en-US" w:eastAsia="zh-CN"/>
              </w:rPr>
              <w:t>2020年</w:t>
            </w:r>
            <w:r>
              <w:rPr>
                <w:rFonts w:hint="eastAsia" w:asciiTheme="minorEastAsia" w:hAnsiTheme="minorEastAsia" w:eastAsiaTheme="minorEastAsia" w:cstheme="minorEastAsia"/>
                <w:color w:val="auto"/>
                <w:szCs w:val="21"/>
              </w:rPr>
              <w:t>“环境和职业健康安全目标指标完成情况检查表”，体系建立至今共进行的管理目标指标的检查考核工作，均完成目标考核要求。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环境和职业健康安全运行管理检查情况：抽查20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.8.30</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11</w:t>
            </w:r>
            <w:r>
              <w:rPr>
                <w:rFonts w:hint="eastAsia" w:asciiTheme="minorEastAsia" w:hAnsiTheme="minorEastAsia" w:eastAsiaTheme="minorEastAsia" w:cstheme="minorEastAsia"/>
                <w:color w:val="auto"/>
                <w:szCs w:val="21"/>
              </w:rPr>
              <w:t>.30</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28</w:t>
            </w:r>
            <w:r>
              <w:rPr>
                <w:rFonts w:hint="eastAsia" w:asciiTheme="minorEastAsia" w:hAnsiTheme="minorEastAsia" w:eastAsiaTheme="minorEastAsia" w:cstheme="minorEastAsia"/>
                <w:color w:val="auto"/>
                <w:szCs w:val="21"/>
              </w:rPr>
              <w:t>管理检查记录，主控部门：</w:t>
            </w:r>
            <w:r>
              <w:rPr>
                <w:rFonts w:hint="eastAsia" w:asciiTheme="minorEastAsia" w:hAnsiTheme="minorEastAsia" w:eastAsiaTheme="minorEastAsia" w:cstheme="minorEastAsia"/>
                <w:color w:val="auto"/>
                <w:szCs w:val="21"/>
                <w:lang w:eastAsia="zh-CN"/>
              </w:rPr>
              <w:t>行政部</w:t>
            </w:r>
            <w:r>
              <w:rPr>
                <w:rFonts w:hint="eastAsia" w:asciiTheme="minorEastAsia" w:hAnsiTheme="minorEastAsia" w:eastAsiaTheme="minorEastAsia" w:cstheme="minorEastAsia"/>
                <w:color w:val="auto"/>
                <w:szCs w:val="21"/>
              </w:rPr>
              <w:t>，检查人：李秀云，对固废收集、节约能源等方面进行检查、劳保用品发放、安全管理进行检查，一切正常。</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查公司为员工购买有养老等保险，提供购买证据。</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目前未发现公司出现违规现象。无被动性绩效的监视和测量。</w:t>
            </w:r>
          </w:p>
          <w:p>
            <w:pPr>
              <w:spacing w:line="280" w:lineRule="exact"/>
              <w:ind w:firstLine="420" w:firstLineChars="200"/>
              <w:rPr>
                <w:color w:val="auto"/>
              </w:rPr>
            </w:pPr>
            <w:r>
              <w:rPr>
                <w:rFonts w:hint="eastAsia" w:asciiTheme="minorEastAsia" w:hAnsiTheme="minorEastAsia" w:eastAsiaTheme="minorEastAsia" w:cstheme="minorEastAsia"/>
                <w:color w:val="auto"/>
                <w:szCs w:val="21"/>
              </w:rPr>
              <w:t>公司不需要对环境影响的运行的关键特性和职业健康安全绩效进行监测和测量的设备。</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管理评审</w:t>
            </w:r>
          </w:p>
          <w:p>
            <w:pPr>
              <w:spacing w:line="280" w:lineRule="exact"/>
              <w:rPr>
                <w:color w:val="auto"/>
              </w:rPr>
            </w:pPr>
          </w:p>
        </w:tc>
        <w:tc>
          <w:tcPr>
            <w:tcW w:w="1019" w:type="dxa"/>
          </w:tcPr>
          <w:p>
            <w:pPr>
              <w:spacing w:line="280" w:lineRule="exact"/>
              <w:rPr>
                <w:color w:val="auto"/>
                <w:szCs w:val="21"/>
              </w:rPr>
            </w:pPr>
            <w:r>
              <w:rPr>
                <w:rFonts w:hint="eastAsia"/>
                <w:color w:val="auto"/>
                <w:szCs w:val="21"/>
              </w:rPr>
              <w:t>QE</w:t>
            </w:r>
            <w:r>
              <w:rPr>
                <w:rFonts w:hint="eastAsia"/>
                <w:color w:val="auto"/>
                <w:szCs w:val="21"/>
                <w:lang w:val="en-US" w:eastAsia="zh-CN"/>
              </w:rPr>
              <w:t>O</w:t>
            </w:r>
            <w:r>
              <w:rPr>
                <w:rFonts w:hint="eastAsia"/>
                <w:color w:val="auto"/>
                <w:szCs w:val="21"/>
              </w:rPr>
              <w:t>9.3</w:t>
            </w:r>
          </w:p>
          <w:p>
            <w:pPr>
              <w:spacing w:line="280" w:lineRule="exact"/>
              <w:rPr>
                <w:color w:val="auto"/>
                <w:szCs w:val="21"/>
              </w:rPr>
            </w:pPr>
          </w:p>
          <w:p>
            <w:pPr>
              <w:spacing w:line="280" w:lineRule="exact"/>
              <w:rPr>
                <w:color w:val="auto"/>
                <w:szCs w:val="21"/>
              </w:rPr>
            </w:pPr>
          </w:p>
          <w:p>
            <w:pPr>
              <w:spacing w:line="280" w:lineRule="exact"/>
              <w:rPr>
                <w:color w:val="auto"/>
              </w:rPr>
            </w:pPr>
          </w:p>
        </w:tc>
        <w:tc>
          <w:tcPr>
            <w:tcW w:w="11223"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公司编制并实施《管理评审程序》，规定管理评审每年进行一次，由总经理决定是否增加管理评审的频次。</w:t>
            </w:r>
          </w:p>
          <w:p>
            <w:pPr>
              <w:spacing w:line="280" w:lineRule="exact"/>
              <w:ind w:firstLine="420" w:firstLineChars="200"/>
              <w:rPr>
                <w:rFonts w:ascii="宋体" w:hAnsi="宋体" w:cs="宋体"/>
                <w:color w:val="auto"/>
                <w:szCs w:val="21"/>
              </w:rPr>
            </w:pPr>
            <w:r>
              <w:rPr>
                <w:rFonts w:hint="eastAsia" w:ascii="宋体" w:hAnsi="宋体" w:cs="宋体"/>
                <w:color w:val="auto"/>
                <w:szCs w:val="21"/>
              </w:rPr>
              <w:t>查策划：在《管理评审程序》中明确了管理评审的实施要求。策划每年进行一次管理评审，间隔不超过12个月。</w:t>
            </w:r>
          </w:p>
          <w:p>
            <w:pPr>
              <w:spacing w:line="280" w:lineRule="exact"/>
              <w:ind w:firstLine="420" w:firstLineChars="200"/>
              <w:rPr>
                <w:rFonts w:ascii="宋体" w:hAnsi="宋体" w:cs="宋体"/>
                <w:color w:val="auto"/>
                <w:szCs w:val="21"/>
              </w:rPr>
            </w:pPr>
            <w:r>
              <w:rPr>
                <w:rFonts w:hint="eastAsia" w:ascii="宋体" w:hAnsi="宋体" w:cs="宋体"/>
                <w:color w:val="auto"/>
                <w:szCs w:val="21"/>
              </w:rPr>
              <w:t>查阅公司管理评审资料，提供：</w:t>
            </w:r>
          </w:p>
          <w:p>
            <w:pPr>
              <w:spacing w:line="280" w:lineRule="exact"/>
              <w:rPr>
                <w:rFonts w:ascii="宋体" w:hAnsi="宋体" w:cs="宋体"/>
                <w:color w:val="auto"/>
                <w:szCs w:val="21"/>
              </w:rPr>
            </w:pPr>
            <w:r>
              <w:rPr>
                <w:rFonts w:hint="eastAsia" w:ascii="宋体" w:hAnsi="宋体" w:cs="宋体"/>
                <w:color w:val="auto"/>
                <w:szCs w:val="21"/>
              </w:rPr>
              <w:t>1.管理评审计划</w:t>
            </w:r>
          </w:p>
          <w:p>
            <w:pPr>
              <w:spacing w:line="280" w:lineRule="exact"/>
              <w:rPr>
                <w:rFonts w:hint="eastAsia" w:ascii="宋体" w:hAnsi="宋体" w:eastAsia="宋体" w:cs="宋体"/>
                <w:color w:val="auto"/>
                <w:szCs w:val="21"/>
                <w:lang w:eastAsia="zh-CN"/>
              </w:rPr>
            </w:pPr>
            <w:r>
              <w:rPr>
                <w:rFonts w:hint="eastAsia" w:ascii="宋体" w:hAnsi="宋体" w:cs="宋体"/>
                <w:color w:val="auto"/>
                <w:szCs w:val="21"/>
              </w:rPr>
              <w:t>评审时间：20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日进行，初审无间隔要求， 评审方式：会议评审</w:t>
            </w:r>
            <w:r>
              <w:rPr>
                <w:rFonts w:hint="eastAsia" w:ascii="宋体" w:hAnsi="宋体" w:cs="宋体"/>
                <w:color w:val="auto"/>
                <w:szCs w:val="21"/>
                <w:lang w:eastAsia="zh-CN"/>
              </w:rPr>
              <w:t>；</w:t>
            </w:r>
          </w:p>
          <w:p>
            <w:pPr>
              <w:spacing w:line="280" w:lineRule="exact"/>
              <w:rPr>
                <w:rFonts w:ascii="宋体" w:hAnsi="宋体" w:cs="宋体"/>
                <w:color w:val="auto"/>
                <w:szCs w:val="21"/>
              </w:rPr>
            </w:pPr>
            <w:r>
              <w:rPr>
                <w:rFonts w:hint="eastAsia" w:ascii="宋体" w:hAnsi="宋体" w:cs="宋体"/>
                <w:color w:val="auto"/>
                <w:szCs w:val="21"/>
                <w:lang w:val="en-US" w:eastAsia="zh-CN"/>
              </w:rPr>
              <w:t>计划</w:t>
            </w:r>
            <w:r>
              <w:rPr>
                <w:rFonts w:hint="eastAsia" w:ascii="宋体" w:hAnsi="宋体" w:cs="宋体"/>
                <w:color w:val="auto"/>
                <w:szCs w:val="21"/>
              </w:rPr>
              <w:t>编制：行政部   批准：任世英 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 xml:space="preserve">日  </w:t>
            </w:r>
          </w:p>
          <w:p>
            <w:pPr>
              <w:spacing w:line="280" w:lineRule="exact"/>
              <w:rPr>
                <w:rFonts w:ascii="宋体" w:hAnsi="宋体" w:cs="宋体"/>
                <w:color w:val="auto"/>
                <w:szCs w:val="21"/>
              </w:rPr>
            </w:pPr>
            <w:r>
              <w:rPr>
                <w:rFonts w:hint="eastAsia" w:ascii="宋体" w:hAnsi="宋体" w:cs="宋体"/>
                <w:color w:val="auto"/>
                <w:szCs w:val="21"/>
              </w:rPr>
              <w:t>参加人员包括公司总经理、管理者代表、各部门负责人</w:t>
            </w:r>
          </w:p>
          <w:p>
            <w:pPr>
              <w:spacing w:line="280" w:lineRule="exact"/>
              <w:rPr>
                <w:rFonts w:ascii="宋体" w:hAnsi="宋体" w:cs="宋体"/>
                <w:color w:val="auto"/>
                <w:szCs w:val="21"/>
              </w:rPr>
            </w:pPr>
            <w:r>
              <w:rPr>
                <w:rFonts w:hint="eastAsia" w:ascii="宋体" w:hAnsi="宋体" w:cs="宋体"/>
                <w:color w:val="auto"/>
                <w:szCs w:val="21"/>
              </w:rPr>
              <w:t>计划中明确了评审内容和资料准备要求。</w:t>
            </w:r>
          </w:p>
          <w:p>
            <w:pPr>
              <w:spacing w:line="280" w:lineRule="exact"/>
              <w:rPr>
                <w:rFonts w:ascii="宋体" w:hAnsi="宋体" w:cs="宋体"/>
                <w:color w:val="auto"/>
                <w:szCs w:val="21"/>
              </w:rPr>
            </w:pPr>
            <w:r>
              <w:rPr>
                <w:rFonts w:hint="eastAsia" w:ascii="宋体" w:hAnsi="宋体" w:cs="宋体"/>
                <w:color w:val="auto"/>
                <w:szCs w:val="21"/>
              </w:rPr>
              <w:t>2.管理评审会议记录</w:t>
            </w:r>
          </w:p>
          <w:p>
            <w:pPr>
              <w:spacing w:line="280" w:lineRule="exact"/>
              <w:rPr>
                <w:rFonts w:ascii="宋体" w:hAnsi="宋体" w:cs="宋体"/>
                <w:color w:val="auto"/>
                <w:szCs w:val="21"/>
              </w:rPr>
            </w:pPr>
            <w:r>
              <w:rPr>
                <w:rFonts w:hint="eastAsia" w:ascii="宋体" w:hAnsi="宋体" w:cs="宋体"/>
                <w:color w:val="auto"/>
                <w:szCs w:val="21"/>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规性评价；可能影响管理体系的变更；事故、顾客满意度及改进建议等；</w:t>
            </w:r>
          </w:p>
          <w:p>
            <w:pPr>
              <w:spacing w:line="280" w:lineRule="exact"/>
              <w:rPr>
                <w:rFonts w:ascii="宋体" w:hAnsi="宋体" w:cs="宋体"/>
                <w:color w:val="auto"/>
                <w:szCs w:val="21"/>
              </w:rPr>
            </w:pPr>
            <w:r>
              <w:rPr>
                <w:rFonts w:hint="eastAsia" w:ascii="宋体" w:hAnsi="宋体" w:cs="宋体"/>
                <w:color w:val="auto"/>
                <w:szCs w:val="21"/>
              </w:rPr>
              <w:t>3.管理评审报告</w:t>
            </w:r>
          </w:p>
          <w:p>
            <w:pPr>
              <w:spacing w:line="280" w:lineRule="exact"/>
              <w:rPr>
                <w:rFonts w:ascii="宋体" w:hAnsi="宋体" w:cs="宋体"/>
                <w:color w:val="auto"/>
                <w:szCs w:val="21"/>
              </w:rPr>
            </w:pPr>
            <w:r>
              <w:rPr>
                <w:rFonts w:hint="eastAsia" w:ascii="宋体" w:hAnsi="宋体" w:cs="宋体"/>
                <w:color w:val="auto"/>
                <w:szCs w:val="21"/>
              </w:rPr>
              <w:t>管理评审结论：公司各部门基本按照管理体系标准要求实施已初步取得良好的效果。公司方针、目标及管理方案、管理体系文件及质量、环境、职业健康安全控制等基本符合GB/T19001-2016质量管理体系、GB/T24001-2016环境管理体系、GB/T28001-2011职业健康安全管理体系的要求，所配备的各类资源基本满足管理体系要求。公司质量、环境、职业健康安全管理体系基本是充分、有效和适宜的。</w:t>
            </w:r>
          </w:p>
          <w:p>
            <w:pPr>
              <w:numPr>
                <w:ilvl w:val="0"/>
                <w:numId w:val="1"/>
              </w:numPr>
              <w:spacing w:line="280" w:lineRule="exact"/>
              <w:rPr>
                <w:rFonts w:hint="eastAsia" w:ascii="宋体" w:hAnsi="宋体" w:cs="宋体"/>
                <w:b w:val="0"/>
                <w:bCs w:val="0"/>
                <w:color w:val="auto"/>
                <w:szCs w:val="21"/>
              </w:rPr>
            </w:pPr>
            <w:r>
              <w:rPr>
                <w:rFonts w:hint="eastAsia" w:ascii="宋体" w:hAnsi="宋体" w:cs="宋体"/>
                <w:b w:val="0"/>
                <w:bCs w:val="0"/>
                <w:color w:val="auto"/>
                <w:szCs w:val="21"/>
              </w:rPr>
              <w:t>改进计划</w:t>
            </w:r>
          </w:p>
          <w:p>
            <w:pPr>
              <w:spacing w:line="240" w:lineRule="exact"/>
              <w:ind w:firstLine="717" w:firstLineChars="299"/>
              <w:rPr>
                <w:rFonts w:hint="eastAsia" w:ascii="宋体" w:hAnsi="宋体"/>
                <w:b w:val="0"/>
                <w:bCs w:val="0"/>
                <w:color w:val="auto"/>
                <w:sz w:val="24"/>
              </w:rPr>
            </w:pPr>
            <w:r>
              <w:rPr>
                <w:rFonts w:hint="eastAsia" w:ascii="宋体" w:hAnsi="宋体"/>
                <w:b w:val="0"/>
                <w:bCs w:val="0"/>
                <w:color w:val="auto"/>
                <w:sz w:val="24"/>
              </w:rPr>
              <w:t>要进一步强化质量、环保、职业健康安全管理体系标准的培训。</w:t>
            </w:r>
          </w:p>
          <w:p>
            <w:pPr>
              <w:numPr>
                <w:ilvl w:val="0"/>
                <w:numId w:val="0"/>
              </w:numPr>
              <w:spacing w:line="280" w:lineRule="exact"/>
              <w:rPr>
                <w:rFonts w:hint="eastAsia" w:ascii="宋体" w:hAnsi="宋体" w:cs="宋体"/>
                <w:color w:val="FF0000"/>
                <w:szCs w:val="21"/>
              </w:rPr>
            </w:pPr>
          </w:p>
          <w:p>
            <w:pPr>
              <w:spacing w:line="280" w:lineRule="exact"/>
              <w:ind w:firstLine="420" w:firstLineChars="200"/>
              <w:rPr>
                <w:rFonts w:hint="default" w:eastAsia="宋体"/>
                <w:color w:val="FF0000"/>
                <w:lang w:val="en-US" w:eastAsia="zh-CN"/>
              </w:rPr>
            </w:pPr>
            <w:r>
              <w:rPr>
                <w:rFonts w:hint="eastAsia" w:ascii="宋体" w:hAnsi="宋体" w:cs="宋体"/>
                <w:color w:val="auto"/>
                <w:szCs w:val="21"/>
              </w:rPr>
              <w:t>进一步加强法律法规学习，行政部负责，实施中。</w:t>
            </w:r>
            <w:r>
              <w:rPr>
                <w:rFonts w:hint="eastAsia" w:ascii="宋体" w:hAnsi="宋体" w:cs="宋体"/>
                <w:color w:val="auto"/>
                <w:szCs w:val="21"/>
                <w:lang w:val="en-US" w:eastAsia="zh-CN"/>
              </w:rPr>
              <w:t>措施欠具体，已交流。</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总则</w:t>
            </w:r>
          </w:p>
          <w:p>
            <w:pPr>
              <w:spacing w:line="280" w:lineRule="exact"/>
              <w:rPr>
                <w:color w:val="auto"/>
              </w:rPr>
            </w:pPr>
          </w:p>
        </w:tc>
        <w:tc>
          <w:tcPr>
            <w:tcW w:w="1019" w:type="dxa"/>
          </w:tcPr>
          <w:p>
            <w:pPr>
              <w:spacing w:line="280" w:lineRule="exact"/>
              <w:rPr>
                <w:color w:val="auto"/>
                <w:szCs w:val="21"/>
              </w:rPr>
            </w:pPr>
            <w:r>
              <w:rPr>
                <w:rFonts w:hint="eastAsia"/>
                <w:color w:val="auto"/>
                <w:szCs w:val="21"/>
              </w:rPr>
              <w:t>QE 10.1</w:t>
            </w:r>
          </w:p>
          <w:p>
            <w:pPr>
              <w:spacing w:line="280" w:lineRule="exact"/>
              <w:rPr>
                <w:color w:val="auto"/>
              </w:rPr>
            </w:pPr>
          </w:p>
        </w:tc>
        <w:tc>
          <w:tcPr>
            <w:tcW w:w="11223" w:type="dxa"/>
            <w:vAlign w:val="center"/>
          </w:tcPr>
          <w:p>
            <w:pPr>
              <w:spacing w:line="280" w:lineRule="exact"/>
              <w:ind w:firstLine="420" w:firstLineChars="200"/>
              <w:rPr>
                <w:rFonts w:ascii="宋体" w:hAnsi="宋体" w:cs="宋体"/>
                <w:color w:val="auto"/>
                <w:szCs w:val="21"/>
              </w:rPr>
            </w:pPr>
            <w:r>
              <w:rPr>
                <w:rFonts w:hint="eastAsia" w:ascii="宋体" w:hAnsi="宋体" w:cs="宋体"/>
                <w:color w:val="auto"/>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color w:val="auto"/>
              </w:rPr>
            </w:pPr>
            <w:r>
              <w:rPr>
                <w:rFonts w:hint="eastAsia" w:ascii="宋体" w:hAnsi="宋体" w:cs="宋体"/>
                <w:color w:val="auto"/>
                <w:szCs w:val="21"/>
              </w:rPr>
              <w:t xml:space="preserve"> ——具体事实可见审核10.2条款记录。</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color w:val="auto"/>
              </w:rPr>
            </w:pPr>
            <w:r>
              <w:rPr>
                <w:rFonts w:hint="eastAsia" w:ascii="宋体" w:hAnsi="宋体" w:cs="宋体"/>
                <w:color w:val="auto"/>
                <w:szCs w:val="21"/>
              </w:rPr>
              <w:t>持续改进</w:t>
            </w:r>
          </w:p>
        </w:tc>
        <w:tc>
          <w:tcPr>
            <w:tcW w:w="1019" w:type="dxa"/>
          </w:tcPr>
          <w:p>
            <w:pPr>
              <w:spacing w:line="280" w:lineRule="exact"/>
              <w:rPr>
                <w:color w:val="auto"/>
                <w:szCs w:val="21"/>
              </w:rPr>
            </w:pPr>
            <w:r>
              <w:rPr>
                <w:rFonts w:hint="eastAsia"/>
                <w:color w:val="auto"/>
                <w:szCs w:val="21"/>
              </w:rPr>
              <w:t>QE 10.3</w:t>
            </w:r>
          </w:p>
          <w:p>
            <w:pPr>
              <w:spacing w:line="280" w:lineRule="exact"/>
              <w:rPr>
                <w:color w:val="auto"/>
              </w:rPr>
            </w:pPr>
          </w:p>
        </w:tc>
        <w:tc>
          <w:tcPr>
            <w:tcW w:w="11223" w:type="dxa"/>
            <w:vAlign w:val="center"/>
          </w:tcPr>
          <w:p>
            <w:pPr>
              <w:spacing w:line="280" w:lineRule="exact"/>
              <w:rPr>
                <w:rFonts w:ascii="宋体" w:hAnsi="宋体" w:cs="宋体"/>
                <w:color w:val="auto"/>
                <w:szCs w:val="21"/>
              </w:rPr>
            </w:pPr>
            <w:r>
              <w:rPr>
                <w:rFonts w:hint="eastAsia" w:ascii="宋体" w:hAnsi="宋体" w:cs="宋体"/>
                <w:color w:val="auto"/>
                <w:szCs w:val="21"/>
              </w:rPr>
              <w:t xml:space="preserve">    公司组织确定并选择改进机会，采取必要措施，满足顾客要求和增强顾客满意。</w:t>
            </w:r>
          </w:p>
          <w:p>
            <w:pPr>
              <w:spacing w:line="280" w:lineRule="exact"/>
              <w:rPr>
                <w:rFonts w:ascii="宋体" w:hAnsi="宋体" w:cs="宋体"/>
                <w:color w:val="auto"/>
                <w:szCs w:val="21"/>
              </w:rPr>
            </w:pPr>
            <w:r>
              <w:rPr>
                <w:rFonts w:hint="eastAsia" w:ascii="宋体" w:hAnsi="宋体" w:cs="宋体"/>
                <w:color w:val="auto"/>
                <w:szCs w:val="21"/>
              </w:rPr>
              <w:t>包括：</w:t>
            </w:r>
          </w:p>
          <w:p>
            <w:pPr>
              <w:spacing w:line="280" w:lineRule="exact"/>
              <w:rPr>
                <w:rFonts w:ascii="宋体" w:hAnsi="宋体" w:cs="宋体"/>
                <w:color w:val="auto"/>
                <w:szCs w:val="21"/>
              </w:rPr>
            </w:pPr>
            <w:r>
              <w:rPr>
                <w:rFonts w:hint="eastAsia" w:ascii="宋体" w:hAnsi="宋体" w:cs="宋体"/>
                <w:color w:val="auto"/>
                <w:szCs w:val="21"/>
              </w:rPr>
              <w:t>a) 改进产品或服务，以满足要求并关注未来的需求和期望；</w:t>
            </w:r>
          </w:p>
          <w:p>
            <w:pPr>
              <w:spacing w:line="280" w:lineRule="exact"/>
              <w:rPr>
                <w:rFonts w:ascii="宋体" w:hAnsi="宋体" w:cs="宋体"/>
                <w:color w:val="auto"/>
                <w:szCs w:val="21"/>
              </w:rPr>
            </w:pPr>
            <w:r>
              <w:rPr>
                <w:rFonts w:hint="eastAsia" w:ascii="宋体" w:hAnsi="宋体" w:cs="宋体"/>
                <w:color w:val="auto"/>
                <w:szCs w:val="21"/>
              </w:rPr>
              <w:t>b) 纠正或减少不利影响；</w:t>
            </w:r>
          </w:p>
          <w:p>
            <w:pPr>
              <w:spacing w:line="280" w:lineRule="exact"/>
              <w:rPr>
                <w:rFonts w:ascii="宋体" w:hAnsi="宋体" w:cs="宋体"/>
                <w:color w:val="auto"/>
                <w:szCs w:val="21"/>
              </w:rPr>
            </w:pPr>
            <w:r>
              <w:rPr>
                <w:rFonts w:hint="eastAsia" w:ascii="宋体" w:hAnsi="宋体" w:cs="宋体"/>
                <w:color w:val="auto"/>
                <w:szCs w:val="21"/>
              </w:rPr>
              <w:t>c) 改进管理体系绩效和有效性。</w:t>
            </w:r>
          </w:p>
          <w:p>
            <w:pPr>
              <w:spacing w:line="280" w:lineRule="exact"/>
              <w:rPr>
                <w:rFonts w:ascii="宋体" w:hAnsi="宋体" w:cs="宋体"/>
                <w:color w:val="auto"/>
                <w:szCs w:val="21"/>
              </w:rPr>
            </w:pPr>
            <w:r>
              <w:rPr>
                <w:rFonts w:hint="eastAsia" w:ascii="宋体" w:hAnsi="宋体" w:cs="宋体"/>
                <w:color w:val="auto"/>
                <w:szCs w:val="21"/>
              </w:rPr>
              <w:t>改进的示例可以包括纠正、纠正措施、持续改进、突变、创新或重组。</w:t>
            </w:r>
          </w:p>
          <w:p>
            <w:pPr>
              <w:spacing w:line="280" w:lineRule="exact"/>
              <w:rPr>
                <w:rFonts w:ascii="宋体" w:hAnsi="宋体" w:cs="宋体"/>
                <w:color w:val="auto"/>
                <w:szCs w:val="21"/>
              </w:rPr>
            </w:pPr>
            <w:r>
              <w:rPr>
                <w:rFonts w:hint="eastAsia" w:ascii="宋体" w:hAnsi="宋体" w:cs="宋体"/>
                <w:color w:val="auto"/>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color w:val="auto"/>
                <w:szCs w:val="21"/>
              </w:rPr>
            </w:pPr>
            <w:r>
              <w:rPr>
                <w:rFonts w:hint="eastAsia" w:ascii="宋体" w:hAnsi="宋体" w:cs="宋体"/>
                <w:color w:val="auto"/>
                <w:szCs w:val="21"/>
              </w:rPr>
              <w:t>1.证实产品满足规定的要求；</w:t>
            </w:r>
          </w:p>
          <w:p>
            <w:pPr>
              <w:spacing w:line="280" w:lineRule="exact"/>
              <w:rPr>
                <w:rFonts w:ascii="宋体" w:hAnsi="宋体" w:cs="宋体"/>
                <w:color w:val="auto"/>
                <w:szCs w:val="21"/>
              </w:rPr>
            </w:pPr>
            <w:r>
              <w:rPr>
                <w:rFonts w:hint="eastAsia" w:ascii="宋体" w:hAnsi="宋体" w:cs="宋体"/>
                <w:color w:val="auto"/>
                <w:szCs w:val="21"/>
              </w:rPr>
              <w:t>2.确保管理体系的符合性；</w:t>
            </w:r>
          </w:p>
          <w:p>
            <w:pPr>
              <w:spacing w:line="280" w:lineRule="exact"/>
              <w:rPr>
                <w:rFonts w:ascii="宋体" w:hAnsi="宋体" w:cs="宋体"/>
                <w:color w:val="auto"/>
                <w:szCs w:val="21"/>
              </w:rPr>
            </w:pPr>
            <w:r>
              <w:rPr>
                <w:rFonts w:hint="eastAsia" w:ascii="宋体" w:hAnsi="宋体" w:cs="宋体"/>
                <w:color w:val="auto"/>
                <w:szCs w:val="21"/>
              </w:rPr>
              <w:t>3.持续改进管理体系的有效性。</w:t>
            </w:r>
          </w:p>
          <w:p>
            <w:pPr>
              <w:spacing w:line="280" w:lineRule="exact"/>
              <w:rPr>
                <w:rFonts w:ascii="宋体" w:hAnsi="宋体" w:cs="宋体"/>
                <w:color w:val="auto"/>
                <w:szCs w:val="21"/>
              </w:rPr>
            </w:pPr>
            <w:r>
              <w:rPr>
                <w:rFonts w:hint="eastAsia" w:ascii="宋体" w:hAnsi="宋体" w:cs="宋体"/>
                <w:color w:val="auto"/>
                <w:szCs w:val="21"/>
              </w:rPr>
              <w:t>根据不同过程、不同产品和不同要求，采取不同的方法进行监视、测量和分析。</w:t>
            </w:r>
          </w:p>
          <w:p>
            <w:pPr>
              <w:spacing w:line="280" w:lineRule="exact"/>
              <w:rPr>
                <w:color w:val="auto"/>
              </w:rPr>
            </w:pPr>
            <w:r>
              <w:rPr>
                <w:rFonts w:hint="eastAsia" w:ascii="宋体" w:hAnsi="宋体" w:cs="宋体"/>
                <w:color w:val="auto"/>
                <w:szCs w:val="21"/>
              </w:rPr>
              <w:t>公司利用管理方针、目标、内审和外审、数据分析、纠正和预防措施以及管理评审，识别任何改进的机会，持续改进管理体系的适宜性、充分性和有效性。详见相关条款审核记录。</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7" w:type="dxa"/>
          </w:tcPr>
          <w:p>
            <w:pPr>
              <w:spacing w:line="280" w:lineRule="exact"/>
              <w:rPr>
                <w:color w:val="auto"/>
              </w:rPr>
            </w:pPr>
            <w:r>
              <w:rPr>
                <w:rFonts w:hint="eastAsia" w:ascii="宋体" w:hAnsi="宋体" w:cs="宋体"/>
                <w:color w:val="auto"/>
                <w:szCs w:val="21"/>
              </w:rPr>
              <w:t>人数</w:t>
            </w:r>
          </w:p>
        </w:tc>
        <w:tc>
          <w:tcPr>
            <w:tcW w:w="1019" w:type="dxa"/>
          </w:tcPr>
          <w:p>
            <w:pPr>
              <w:spacing w:line="280" w:lineRule="exact"/>
              <w:rPr>
                <w:color w:val="auto"/>
              </w:rPr>
            </w:pPr>
          </w:p>
        </w:tc>
        <w:tc>
          <w:tcPr>
            <w:tcW w:w="11223" w:type="dxa"/>
            <w:vAlign w:val="center"/>
          </w:tcPr>
          <w:p>
            <w:pPr>
              <w:spacing w:line="280" w:lineRule="exact"/>
              <w:rPr>
                <w:color w:val="auto"/>
              </w:rPr>
            </w:pPr>
            <w:r>
              <w:rPr>
                <w:rFonts w:hint="eastAsia" w:ascii="宋体" w:hAnsi="宋体" w:cs="宋体"/>
                <w:color w:val="auto"/>
                <w:szCs w:val="21"/>
              </w:rPr>
              <w:t>公司现有员工约25人，与申报管理体系人数基本一致。</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color w:val="auto"/>
              </w:rPr>
            </w:pPr>
            <w:r>
              <w:rPr>
                <w:rFonts w:hint="eastAsia" w:ascii="宋体" w:hAnsi="宋体" w:cs="宋体"/>
                <w:color w:val="auto"/>
                <w:szCs w:val="21"/>
              </w:rPr>
              <w:t>事故</w:t>
            </w:r>
          </w:p>
        </w:tc>
        <w:tc>
          <w:tcPr>
            <w:tcW w:w="1019" w:type="dxa"/>
          </w:tcPr>
          <w:p>
            <w:pPr>
              <w:spacing w:line="280" w:lineRule="exact"/>
              <w:rPr>
                <w:color w:val="auto"/>
              </w:rPr>
            </w:pPr>
          </w:p>
        </w:tc>
        <w:tc>
          <w:tcPr>
            <w:tcW w:w="11223" w:type="dxa"/>
            <w:vAlign w:val="center"/>
          </w:tcPr>
          <w:p>
            <w:pPr>
              <w:spacing w:line="280" w:lineRule="exact"/>
              <w:rPr>
                <w:color w:val="auto"/>
              </w:rPr>
            </w:pPr>
            <w:r>
              <w:rPr>
                <w:rFonts w:hint="eastAsia" w:ascii="宋体" w:hAnsi="宋体" w:cs="宋体"/>
                <w:color w:val="auto"/>
                <w:szCs w:val="21"/>
              </w:rPr>
              <w:t>公司管理体系自运行以来，未发生质量、环境、职业健康安全事故</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7" w:type="dxa"/>
          </w:tcPr>
          <w:p>
            <w:pPr>
              <w:spacing w:line="280" w:lineRule="exact"/>
              <w:rPr>
                <w:color w:val="auto"/>
              </w:rPr>
            </w:pPr>
            <w:r>
              <w:rPr>
                <w:rFonts w:hint="eastAsia" w:ascii="宋体" w:hAnsi="宋体" w:cs="宋体"/>
                <w:color w:val="auto"/>
                <w:szCs w:val="21"/>
              </w:rPr>
              <w:t>顾客投诉</w:t>
            </w:r>
          </w:p>
        </w:tc>
        <w:tc>
          <w:tcPr>
            <w:tcW w:w="1019" w:type="dxa"/>
          </w:tcPr>
          <w:p>
            <w:pPr>
              <w:spacing w:line="280" w:lineRule="exact"/>
              <w:rPr>
                <w:color w:val="auto"/>
              </w:rPr>
            </w:pPr>
          </w:p>
        </w:tc>
        <w:tc>
          <w:tcPr>
            <w:tcW w:w="11223" w:type="dxa"/>
            <w:vAlign w:val="center"/>
          </w:tcPr>
          <w:p>
            <w:pPr>
              <w:spacing w:line="280" w:lineRule="exact"/>
              <w:rPr>
                <w:color w:val="auto"/>
              </w:rPr>
            </w:pPr>
            <w:r>
              <w:rPr>
                <w:rFonts w:hint="eastAsia" w:ascii="宋体" w:hAnsi="宋体" w:cs="宋体"/>
                <w:color w:val="auto"/>
                <w:szCs w:val="21"/>
              </w:rPr>
              <w:t>管理体系运行期间未发生顾客及相关方投诉情况</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color w:val="auto"/>
              </w:rPr>
            </w:pPr>
            <w:r>
              <w:rPr>
                <w:rFonts w:hint="eastAsia" w:ascii="宋体" w:hAnsi="宋体" w:cs="宋体"/>
                <w:color w:val="auto"/>
                <w:szCs w:val="21"/>
              </w:rPr>
              <w:t>上级主管单位监督抽查</w:t>
            </w:r>
          </w:p>
        </w:tc>
        <w:tc>
          <w:tcPr>
            <w:tcW w:w="1019" w:type="dxa"/>
          </w:tcPr>
          <w:p>
            <w:pPr>
              <w:spacing w:line="280" w:lineRule="exact"/>
              <w:rPr>
                <w:color w:val="auto"/>
              </w:rPr>
            </w:pPr>
          </w:p>
        </w:tc>
        <w:tc>
          <w:tcPr>
            <w:tcW w:w="11223" w:type="dxa"/>
            <w:vAlign w:val="center"/>
          </w:tcPr>
          <w:p>
            <w:pPr>
              <w:spacing w:line="280" w:lineRule="exact"/>
              <w:rPr>
                <w:color w:val="auto"/>
              </w:rPr>
            </w:pPr>
            <w:r>
              <w:rPr>
                <w:rFonts w:hint="eastAsia" w:ascii="宋体" w:hAnsi="宋体" w:cs="宋体"/>
                <w:color w:val="auto"/>
                <w:szCs w:val="21"/>
              </w:rPr>
              <w:t>目前没有上级主管部门对公司的在质量、环境、职业健康安全监督抽查</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7" w:type="dxa"/>
          </w:tcPr>
          <w:p>
            <w:pPr>
              <w:spacing w:line="280" w:lineRule="exact"/>
              <w:rPr>
                <w:rFonts w:ascii="宋体" w:hAnsi="宋体" w:cs="宋体"/>
                <w:color w:val="auto"/>
                <w:szCs w:val="21"/>
              </w:rPr>
            </w:pPr>
            <w:r>
              <w:rPr>
                <w:rFonts w:hint="eastAsia" w:ascii="宋体" w:hAnsi="宋体" w:cs="宋体"/>
                <w:color w:val="auto"/>
                <w:szCs w:val="21"/>
              </w:rPr>
              <w:t>遵纪守法</w:t>
            </w:r>
          </w:p>
          <w:p>
            <w:pPr>
              <w:spacing w:line="280" w:lineRule="exact"/>
              <w:rPr>
                <w:color w:val="auto"/>
              </w:rPr>
            </w:pPr>
            <w:r>
              <w:rPr>
                <w:rFonts w:hint="eastAsia" w:ascii="宋体" w:hAnsi="宋体" w:cs="宋体"/>
                <w:color w:val="auto"/>
                <w:szCs w:val="21"/>
              </w:rPr>
              <w:t>情况</w:t>
            </w:r>
          </w:p>
        </w:tc>
        <w:tc>
          <w:tcPr>
            <w:tcW w:w="1019" w:type="dxa"/>
          </w:tcPr>
          <w:p>
            <w:pPr>
              <w:spacing w:line="280" w:lineRule="exact"/>
              <w:rPr>
                <w:color w:val="auto"/>
              </w:rPr>
            </w:pPr>
          </w:p>
        </w:tc>
        <w:tc>
          <w:tcPr>
            <w:tcW w:w="11223" w:type="dxa"/>
            <w:vAlign w:val="center"/>
          </w:tcPr>
          <w:p>
            <w:pPr>
              <w:spacing w:line="280" w:lineRule="exact"/>
              <w:rPr>
                <w:color w:val="auto"/>
              </w:rPr>
            </w:pPr>
            <w:r>
              <w:rPr>
                <w:rFonts w:hint="eastAsia" w:ascii="宋体" w:hAnsi="宋体" w:cs="宋体"/>
                <w:color w:val="auto"/>
                <w:szCs w:val="21"/>
              </w:rPr>
              <w:t>目前公司经营过程中没有发生违反相关法律法规及其他要求的情况</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color w:val="auto"/>
              </w:rPr>
            </w:pPr>
            <w:r>
              <w:rPr>
                <w:rFonts w:hint="eastAsia" w:ascii="宋体" w:hAnsi="宋体" w:cs="宋体"/>
                <w:color w:val="auto"/>
                <w:szCs w:val="21"/>
                <w:lang w:val="en-US" w:eastAsia="zh-CN"/>
              </w:rPr>
              <w:t>上一年度</w:t>
            </w:r>
            <w:r>
              <w:rPr>
                <w:rFonts w:hint="eastAsia" w:ascii="宋体" w:hAnsi="宋体" w:cs="宋体"/>
                <w:color w:val="auto"/>
                <w:szCs w:val="21"/>
              </w:rPr>
              <w:t>问题整改</w:t>
            </w:r>
          </w:p>
        </w:tc>
        <w:tc>
          <w:tcPr>
            <w:tcW w:w="1019" w:type="dxa"/>
          </w:tcPr>
          <w:p>
            <w:pPr>
              <w:spacing w:line="280" w:lineRule="exact"/>
              <w:rPr>
                <w:color w:val="auto"/>
              </w:rPr>
            </w:pPr>
          </w:p>
        </w:tc>
        <w:tc>
          <w:tcPr>
            <w:tcW w:w="11223" w:type="dxa"/>
            <w:vAlign w:val="center"/>
          </w:tcPr>
          <w:p>
            <w:pPr>
              <w:spacing w:line="280" w:lineRule="exact"/>
              <w:rPr>
                <w:color w:val="auto"/>
              </w:rPr>
            </w:pPr>
            <w:r>
              <w:rPr>
                <w:rFonts w:hint="eastAsia" w:ascii="宋体" w:hAnsi="宋体" w:cs="宋体"/>
                <w:color w:val="auto"/>
                <w:szCs w:val="21"/>
                <w:lang w:val="en-US" w:eastAsia="zh-CN"/>
              </w:rPr>
              <w:t>对上一年度审核</w:t>
            </w:r>
            <w:r>
              <w:rPr>
                <w:rFonts w:hint="eastAsia" w:ascii="宋体" w:hAnsi="宋体" w:cs="宋体"/>
                <w:color w:val="auto"/>
                <w:szCs w:val="21"/>
              </w:rPr>
              <w:t>提出</w:t>
            </w:r>
            <w:r>
              <w:rPr>
                <w:rFonts w:hint="eastAsia" w:ascii="宋体" w:hAnsi="宋体" w:cs="宋体"/>
                <w:color w:val="auto"/>
                <w:szCs w:val="21"/>
                <w:lang w:val="en-US" w:eastAsia="zh-CN"/>
              </w:rPr>
              <w:t>不符合</w:t>
            </w:r>
            <w:r>
              <w:rPr>
                <w:rFonts w:hint="eastAsia" w:ascii="宋体" w:hAnsi="宋体" w:cs="宋体"/>
                <w:color w:val="auto"/>
                <w:szCs w:val="21"/>
              </w:rPr>
              <w:t>1</w:t>
            </w:r>
            <w:r>
              <w:rPr>
                <w:rFonts w:hint="eastAsia" w:ascii="宋体" w:hAnsi="宋体" w:cs="宋体"/>
                <w:color w:val="auto"/>
                <w:szCs w:val="21"/>
                <w:lang w:val="en-US" w:eastAsia="zh-CN"/>
              </w:rPr>
              <w:t>项</w:t>
            </w:r>
            <w:r>
              <w:rPr>
                <w:rFonts w:hint="eastAsia" w:ascii="宋体" w:hAnsi="宋体" w:cs="宋体"/>
                <w:color w:val="auto"/>
                <w:szCs w:val="21"/>
              </w:rPr>
              <w:t>，已</w:t>
            </w:r>
            <w:r>
              <w:rPr>
                <w:rFonts w:hint="eastAsia" w:ascii="宋体" w:hAnsi="宋体" w:cs="宋体"/>
                <w:color w:val="auto"/>
                <w:szCs w:val="21"/>
                <w:lang w:val="en-US" w:eastAsia="zh-CN"/>
              </w:rPr>
              <w:t>采取</w:t>
            </w:r>
            <w:r>
              <w:rPr>
                <w:rFonts w:hint="eastAsia" w:ascii="宋体" w:hAnsi="宋体" w:cs="宋体"/>
                <w:color w:val="auto"/>
                <w:szCs w:val="21"/>
              </w:rPr>
              <w:t>纠正</w:t>
            </w:r>
            <w:r>
              <w:rPr>
                <w:rFonts w:hint="eastAsia" w:ascii="宋体" w:hAnsi="宋体" w:cs="宋体"/>
                <w:color w:val="auto"/>
                <w:szCs w:val="21"/>
                <w:lang w:val="en-US" w:eastAsia="zh-CN"/>
              </w:rPr>
              <w:t>及纠正措施，现场验证整改基本有效，本次审核未发生类似不符合</w:t>
            </w:r>
            <w:bookmarkStart w:id="1" w:name="_GoBack"/>
            <w:bookmarkEnd w:id="1"/>
            <w:r>
              <w:rPr>
                <w:rFonts w:hint="eastAsia" w:ascii="宋体" w:hAnsi="宋体" w:cs="宋体"/>
                <w:color w:val="auto"/>
                <w:szCs w:val="21"/>
              </w:rPr>
              <w:t>。</w:t>
            </w:r>
          </w:p>
        </w:tc>
        <w:tc>
          <w:tcPr>
            <w:tcW w:w="760" w:type="dxa"/>
          </w:tcPr>
          <w:p>
            <w:pPr>
              <w:spacing w:line="32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ascii="宋体" w:hAnsi="宋体" w:cs="宋体"/>
                <w:color w:val="auto"/>
                <w:szCs w:val="21"/>
              </w:rPr>
            </w:pPr>
          </w:p>
        </w:tc>
        <w:tc>
          <w:tcPr>
            <w:tcW w:w="1019" w:type="dxa"/>
          </w:tcPr>
          <w:p>
            <w:pPr>
              <w:spacing w:line="280" w:lineRule="exact"/>
              <w:rPr>
                <w:color w:val="auto"/>
              </w:rPr>
            </w:pPr>
          </w:p>
        </w:tc>
        <w:tc>
          <w:tcPr>
            <w:tcW w:w="11223" w:type="dxa"/>
            <w:vAlign w:val="center"/>
          </w:tcPr>
          <w:p>
            <w:pPr>
              <w:spacing w:line="280" w:lineRule="exact"/>
              <w:rPr>
                <w:rFonts w:ascii="宋体" w:hAnsi="宋体" w:cs="宋体"/>
                <w:color w:val="auto"/>
                <w:szCs w:val="21"/>
              </w:rPr>
            </w:pPr>
            <w:r>
              <w:rPr>
                <w:rFonts w:hint="eastAsia" w:ascii="宋体" w:hAnsi="宋体" w:cs="宋体"/>
                <w:color w:val="auto"/>
                <w:szCs w:val="21"/>
              </w:rPr>
              <w:t>查该公司通过员工选举</w:t>
            </w:r>
            <w:r>
              <w:rPr>
                <w:rFonts w:hint="eastAsia"/>
                <w:color w:val="auto"/>
                <w:szCs w:val="21"/>
              </w:rPr>
              <w:t>王进龙</w:t>
            </w:r>
            <w:r>
              <w:rPr>
                <w:rFonts w:hint="eastAsia" w:ascii="宋体" w:hAnsi="宋体" w:cs="宋体"/>
                <w:color w:val="auto"/>
                <w:szCs w:val="21"/>
              </w:rPr>
              <w:t>为公司的职业健康安全事务代表。经询问</w:t>
            </w:r>
            <w:r>
              <w:rPr>
                <w:rFonts w:hint="eastAsia"/>
                <w:color w:val="auto"/>
                <w:szCs w:val="21"/>
              </w:rPr>
              <w:t>王进龙</w:t>
            </w:r>
            <w:r>
              <w:rPr>
                <w:rFonts w:hint="eastAsia" w:ascii="宋体" w:hAnsi="宋体" w:cs="宋体"/>
                <w:color w:val="auto"/>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p>
            <w:pPr>
              <w:spacing w:line="360" w:lineRule="auto"/>
              <w:ind w:firstLine="420" w:firstLineChars="200"/>
              <w:rPr>
                <w:rFonts w:ascii="宋体" w:hAnsi="宋体" w:cs="宋体"/>
                <w:color w:val="auto"/>
                <w:szCs w:val="21"/>
              </w:rPr>
            </w:pPr>
            <w:r>
              <w:rPr>
                <w:rFonts w:hint="eastAsia" w:ascii="宋体" w:hAnsi="宋体" w:cs="宋体"/>
                <w:color w:val="auto"/>
                <w:szCs w:val="21"/>
              </w:rPr>
              <w:t>参与了公司职业健康安全管理体系文件等相关职业健康安全活动的策划工作。</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查该公司人员比较少，沟通基本无不畅通的状况。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管理管理体系运行至今无员工投诉，目前无改进的建议。</w:t>
            </w:r>
          </w:p>
          <w:p>
            <w:pPr>
              <w:spacing w:line="280" w:lineRule="exact"/>
              <w:rPr>
                <w:rFonts w:ascii="宋体" w:hAnsi="宋体" w:cs="宋体"/>
                <w:color w:val="auto"/>
                <w:szCs w:val="21"/>
              </w:rPr>
            </w:pPr>
            <w:r>
              <w:rPr>
                <w:rFonts w:hint="eastAsia" w:ascii="宋体" w:hAnsi="宋体" w:cs="宋体"/>
                <w:color w:val="auto"/>
                <w:szCs w:val="21"/>
              </w:rPr>
              <w:t>公司为长期稳定员工缴纳社保。</w:t>
            </w:r>
          </w:p>
        </w:tc>
        <w:tc>
          <w:tcPr>
            <w:tcW w:w="760" w:type="dxa"/>
          </w:tcPr>
          <w:p>
            <w:pPr>
              <w:spacing w:line="320" w:lineRule="exact"/>
              <w:rPr>
                <w:color w:val="FF0000"/>
              </w:rPr>
            </w:pPr>
          </w:p>
        </w:tc>
      </w:tr>
    </w:tbl>
    <w:p>
      <w:pPr>
        <w:rPr>
          <w:color w:val="FF0000"/>
        </w:rPr>
      </w:pPr>
      <w:r>
        <w:rPr>
          <w:color w:val="FF0000"/>
        </w:rPr>
        <w:ptab w:relativeTo="margin" w:alignment="center" w:leader="none"/>
      </w:r>
    </w:p>
    <w:p>
      <w:pPr>
        <w:pStyle w:val="6"/>
        <w:rPr>
          <w:color w:val="FF0000"/>
        </w:rPr>
      </w:pPr>
      <w:r>
        <w:rPr>
          <w:rFonts w:hint="eastAsia"/>
          <w:color w:val="FF0000"/>
        </w:rPr>
        <w:t>说明：不符合标注N</w:t>
      </w:r>
    </w:p>
    <w:p>
      <w:pPr>
        <w:pStyle w:val="6"/>
        <w:rPr>
          <w:color w:val="FF0000"/>
        </w:rPr>
      </w:pPr>
    </w:p>
    <w:p>
      <w:pPr>
        <w:pStyle w:val="6"/>
        <w:rPr>
          <w:color w:val="FF0000"/>
        </w:rPr>
      </w:pPr>
    </w:p>
    <w:p>
      <w:pPr>
        <w:pStyle w:val="6"/>
        <w:rPr>
          <w:color w:val="FF0000"/>
        </w:rPr>
      </w:pPr>
    </w:p>
    <w:p>
      <w:pPr>
        <w:pStyle w:val="6"/>
        <w:rPr>
          <w:color w:val="FF0000"/>
        </w:rPr>
      </w:pPr>
    </w:p>
    <w:p>
      <w:pPr>
        <w:pStyle w:val="6"/>
        <w:rPr>
          <w:color w:val="FF0000"/>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ISC-B-II-1</w:t>
                          </w:r>
                          <w:r>
                            <w:rPr>
                              <w:sz w:val="18"/>
                              <w:szCs w:val="18"/>
                            </w:rPr>
                            <w:t>2</w:t>
                          </w:r>
                          <w:r>
                            <w:rPr>
                              <w:rFonts w:hint="eastAsia"/>
                              <w:sz w:val="18"/>
                              <w:szCs w:val="18"/>
                            </w:rPr>
                            <w:t xml:space="preserve"> 管理体系审核记录表(03版)</w:t>
                          </w:r>
                        </w:p>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mc:Fallback>
      </mc:AlternateContent>
    </w:r>
    <w:r>
      <w:rPr>
        <w:rStyle w:val="13"/>
        <w:rFonts w:hint="default"/>
      </w:rPr>
      <w:t xml:space="preserve">        </w:t>
    </w:r>
    <w:r>
      <w:rPr>
        <w:rStyle w:val="13"/>
        <w:rFonts w:hint="default"/>
        <w:w w:val="90"/>
      </w:rPr>
      <w:t xml:space="preserve">Beijing International </w:t>
    </w:r>
    <w:r>
      <w:rPr>
        <w:rStyle w:val="13"/>
        <w:w w:val="90"/>
      </w:rPr>
      <w:t>O</w:t>
    </w:r>
    <w:r>
      <w:rPr>
        <w:rStyle w:val="13"/>
        <w:rFonts w:hint="default"/>
        <w:w w:val="90"/>
      </w:rPr>
      <w:t>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31655"/>
    <w:multiLevelType w:val="singleLevel"/>
    <w:tmpl w:val="93331655"/>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1A2D7F"/>
    <w:rsid w:val="00337922"/>
    <w:rsid w:val="00340867"/>
    <w:rsid w:val="00380837"/>
    <w:rsid w:val="003A198A"/>
    <w:rsid w:val="00410914"/>
    <w:rsid w:val="004D532C"/>
    <w:rsid w:val="00536930"/>
    <w:rsid w:val="00564E53"/>
    <w:rsid w:val="00644FE2"/>
    <w:rsid w:val="0067640C"/>
    <w:rsid w:val="006E678B"/>
    <w:rsid w:val="007757F3"/>
    <w:rsid w:val="007E6AEB"/>
    <w:rsid w:val="008973EE"/>
    <w:rsid w:val="008C46A2"/>
    <w:rsid w:val="00971600"/>
    <w:rsid w:val="009973B4"/>
    <w:rsid w:val="009C28C1"/>
    <w:rsid w:val="009F709D"/>
    <w:rsid w:val="009F7EED"/>
    <w:rsid w:val="00AF0AAB"/>
    <w:rsid w:val="00BC3CC4"/>
    <w:rsid w:val="00BF597E"/>
    <w:rsid w:val="00C51A36"/>
    <w:rsid w:val="00C55228"/>
    <w:rsid w:val="00CE315A"/>
    <w:rsid w:val="00D06F59"/>
    <w:rsid w:val="00D8388C"/>
    <w:rsid w:val="00EB0164"/>
    <w:rsid w:val="00ED0F62"/>
    <w:rsid w:val="01B233C1"/>
    <w:rsid w:val="03011590"/>
    <w:rsid w:val="0320505F"/>
    <w:rsid w:val="04510B7D"/>
    <w:rsid w:val="08BF0232"/>
    <w:rsid w:val="08E60B71"/>
    <w:rsid w:val="0A8D103E"/>
    <w:rsid w:val="0ACE1CBC"/>
    <w:rsid w:val="0B451C47"/>
    <w:rsid w:val="0B4E6612"/>
    <w:rsid w:val="0E3E43E5"/>
    <w:rsid w:val="0E673B3C"/>
    <w:rsid w:val="0E891764"/>
    <w:rsid w:val="0F413AC7"/>
    <w:rsid w:val="108219C2"/>
    <w:rsid w:val="108A0D67"/>
    <w:rsid w:val="117E71EC"/>
    <w:rsid w:val="12245DB8"/>
    <w:rsid w:val="136314F4"/>
    <w:rsid w:val="13CA12D3"/>
    <w:rsid w:val="13CE6575"/>
    <w:rsid w:val="141304FE"/>
    <w:rsid w:val="14257908"/>
    <w:rsid w:val="14D454BA"/>
    <w:rsid w:val="14FD6176"/>
    <w:rsid w:val="15D53416"/>
    <w:rsid w:val="162B5F34"/>
    <w:rsid w:val="179470C0"/>
    <w:rsid w:val="188C6160"/>
    <w:rsid w:val="1896259A"/>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92F29D1"/>
    <w:rsid w:val="2C703113"/>
    <w:rsid w:val="2EE93C61"/>
    <w:rsid w:val="2FEB299B"/>
    <w:rsid w:val="32691255"/>
    <w:rsid w:val="32C11AD5"/>
    <w:rsid w:val="34041CDB"/>
    <w:rsid w:val="3438524B"/>
    <w:rsid w:val="34B32935"/>
    <w:rsid w:val="375F34D7"/>
    <w:rsid w:val="37FB7F90"/>
    <w:rsid w:val="39952144"/>
    <w:rsid w:val="3AD826FA"/>
    <w:rsid w:val="3B1027BA"/>
    <w:rsid w:val="3BD4497A"/>
    <w:rsid w:val="3C9E5B10"/>
    <w:rsid w:val="3D5478BE"/>
    <w:rsid w:val="3DAD6D4F"/>
    <w:rsid w:val="3F0F3C1B"/>
    <w:rsid w:val="40285D69"/>
    <w:rsid w:val="414D774F"/>
    <w:rsid w:val="41842DAE"/>
    <w:rsid w:val="418A49D1"/>
    <w:rsid w:val="440643B1"/>
    <w:rsid w:val="44D10776"/>
    <w:rsid w:val="466F33FE"/>
    <w:rsid w:val="46B97919"/>
    <w:rsid w:val="48800E04"/>
    <w:rsid w:val="489C542B"/>
    <w:rsid w:val="49306449"/>
    <w:rsid w:val="494C5676"/>
    <w:rsid w:val="4ABE4B71"/>
    <w:rsid w:val="4BFF3076"/>
    <w:rsid w:val="4D943D2E"/>
    <w:rsid w:val="4E95570D"/>
    <w:rsid w:val="4EC64F08"/>
    <w:rsid w:val="4FF9693C"/>
    <w:rsid w:val="50886C2D"/>
    <w:rsid w:val="51543C71"/>
    <w:rsid w:val="52390AC9"/>
    <w:rsid w:val="56084BED"/>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3606581"/>
    <w:rsid w:val="65B47E80"/>
    <w:rsid w:val="661149EF"/>
    <w:rsid w:val="6612664F"/>
    <w:rsid w:val="66B7462A"/>
    <w:rsid w:val="68571BF3"/>
    <w:rsid w:val="68AC04FF"/>
    <w:rsid w:val="69EA7EC1"/>
    <w:rsid w:val="6A23146B"/>
    <w:rsid w:val="6BAC184E"/>
    <w:rsid w:val="6CA45EE1"/>
    <w:rsid w:val="6D53402F"/>
    <w:rsid w:val="70205029"/>
    <w:rsid w:val="702D7970"/>
    <w:rsid w:val="71065FD8"/>
    <w:rsid w:val="7333596B"/>
    <w:rsid w:val="73A00EA2"/>
    <w:rsid w:val="75A01733"/>
    <w:rsid w:val="75A8368A"/>
    <w:rsid w:val="761F43CB"/>
    <w:rsid w:val="76373F2B"/>
    <w:rsid w:val="76517D3D"/>
    <w:rsid w:val="76E27F87"/>
    <w:rsid w:val="77310DBF"/>
    <w:rsid w:val="78741EB2"/>
    <w:rsid w:val="79C04904"/>
    <w:rsid w:val="79E2643B"/>
    <w:rsid w:val="7A3A268E"/>
    <w:rsid w:val="7B5C61FD"/>
    <w:rsid w:val="7C456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sz w:val="24"/>
    </w:rPr>
  </w:style>
  <w:style w:type="paragraph" w:styleId="4">
    <w:name w:val="Plain Text"/>
    <w:basedOn w:val="1"/>
    <w:unhideWhenUsed/>
    <w:qFormat/>
    <w:uiPriority w:val="0"/>
    <w:rPr>
      <w:rFonts w:ascii="宋体" w:hAnsi="Courier New"/>
    </w:rPr>
  </w:style>
  <w:style w:type="paragraph" w:styleId="5">
    <w:name w:val="Balloon Text"/>
    <w:basedOn w:val="1"/>
    <w:link w:val="12"/>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1168</Words>
  <Characters>6661</Characters>
  <Lines>55</Lines>
  <Paragraphs>15</Paragraphs>
  <TotalTime>16</TotalTime>
  <ScaleCrop>false</ScaleCrop>
  <LinksUpToDate>false</LinksUpToDate>
  <CharactersWithSpaces>7814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thinkpad</cp:lastModifiedBy>
  <dcterms:modified xsi:type="dcterms:W3CDTF">2021-04-30T12:15:27Z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BB1B42476368401A9406105ED5049E9B</vt:lpwstr>
  </property>
</Properties>
</file>