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协宝（重庆）建材股份有限公司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质量管理体系（QMS）第</w:t>
      </w:r>
      <w:r>
        <w:rPr>
          <w:rFonts w:hint="eastAsia" w:ascii="楷体" w:hAnsi="楷体" w:eastAsia="楷体"/>
          <w:b/>
          <w:color w:val="000000" w:themeColor="text1"/>
          <w:sz w:val="32"/>
          <w:szCs w:val="32"/>
          <w:lang w:val="en-US" w:eastAsia="zh-CN"/>
        </w:rPr>
        <w:t>2</w:t>
      </w:r>
      <w:r>
        <w:rPr>
          <w:rFonts w:hint="eastAsia" w:ascii="楷体" w:hAnsi="楷体" w:eastAsia="楷体"/>
          <w:b/>
          <w:color w:val="000000" w:themeColor="text1"/>
          <w:sz w:val="32"/>
          <w:szCs w:val="32"/>
        </w:rPr>
        <w:t>次监督</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Q:16.02.04</w:t>
            </w:r>
          </w:p>
          <w:p>
            <w:pPr>
              <w:spacing w:line="240" w:lineRule="exact"/>
              <w:jc w:val="center"/>
              <w:rPr>
                <w:b/>
                <w:color w:val="000000" w:themeColor="text1"/>
                <w:sz w:val="20"/>
                <w:szCs w:val="20"/>
              </w:rPr>
            </w:pPr>
            <w:r>
              <w:rPr>
                <w:b/>
                <w:color w:val="000000" w:themeColor="text1"/>
                <w:sz w:val="20"/>
                <w:szCs w:val="20"/>
              </w:rPr>
              <w:t>E:16.02.04</w:t>
            </w:r>
          </w:p>
          <w:p>
            <w:pPr>
              <w:spacing w:line="240" w:lineRule="exact"/>
              <w:jc w:val="center"/>
              <w:rPr>
                <w:b/>
                <w:color w:val="000000" w:themeColor="text1"/>
                <w:sz w:val="20"/>
                <w:szCs w:val="20"/>
              </w:rPr>
            </w:pPr>
            <w:r>
              <w:rPr>
                <w:b/>
                <w:color w:val="000000" w:themeColor="text1"/>
                <w:sz w:val="20"/>
                <w:szCs w:val="20"/>
              </w:rPr>
              <w:t>O:16.02.04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监督审核：</w:t>
            </w:r>
          </w:p>
        </w:tc>
        <w:tc>
          <w:tcPr>
            <w:tcW w:w="7654" w:type="dxa"/>
            <w:vAlign w:val="center"/>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评价组织管理体系建立、实施运行的符合性及有效性，以确定是否保持认证注册。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协宝（重庆）建材股份有限公司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重庆市江津区白沙工业园D-26</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重庆市江津区白沙工业园D-26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蔡春鹏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18523978888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林亚聪</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林亚聪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蔡春鹏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Q：水泥基灌浆、压浆材料的生产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E：水泥基灌浆、压浆材料的加工所涉及场所的相关环境管理活动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O：水泥基灌浆、压浆材料的加工所涉及场所的相关职业健康安全管理活动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Q：16.02.04</w:t>
            </w:r>
          </w:p>
          <w:p>
            <w:pPr>
              <w:spacing w:line="320" w:lineRule="exact"/>
              <w:rPr>
                <w:rFonts w:ascii="宋体" w:hAnsi="宋体"/>
                <w:b/>
                <w:color w:val="000000" w:themeColor="text1"/>
                <w:sz w:val="20"/>
                <w:szCs w:val="20"/>
              </w:rPr>
            </w:pPr>
            <w:r>
              <w:rPr>
                <w:rFonts w:ascii="宋体" w:hAnsi="宋体"/>
                <w:b/>
                <w:color w:val="000000" w:themeColor="text1"/>
                <w:sz w:val="20"/>
                <w:szCs w:val="20"/>
              </w:rPr>
              <w:t>E：16.02.04</w:t>
            </w:r>
          </w:p>
          <w:p>
            <w:pPr>
              <w:spacing w:line="320" w:lineRule="exact"/>
              <w:rPr>
                <w:rFonts w:ascii="宋体" w:hAnsi="宋体"/>
                <w:b/>
                <w:color w:val="000000" w:themeColor="text1"/>
                <w:sz w:val="20"/>
                <w:szCs w:val="20"/>
              </w:rPr>
            </w:pPr>
            <w:r>
              <w:rPr>
                <w:rFonts w:ascii="宋体" w:hAnsi="宋体"/>
                <w:b/>
                <w:color w:val="000000" w:themeColor="text1"/>
                <w:sz w:val="20"/>
                <w:szCs w:val="20"/>
              </w:rPr>
              <w:t>O：16.02.04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19" w:name="体系运行时间"/>
            <w:r>
              <w:rPr>
                <w:rFonts w:ascii="宋体" w:hAnsi="宋体"/>
                <w:b/>
                <w:color w:val="000000" w:themeColor="text1"/>
                <w:sz w:val="20"/>
                <w:szCs w:val="20"/>
              </w:rPr>
              <w:t>20</w:t>
            </w:r>
            <w:bookmarkEnd w:id="19"/>
            <w:r>
              <w:rPr>
                <w:rFonts w:hint="eastAsia" w:ascii="宋体" w:hAnsi="宋体"/>
                <w:b/>
                <w:color w:val="000000" w:themeColor="text1"/>
                <w:sz w:val="20"/>
                <w:szCs w:val="20"/>
                <w:lang w:val="en-US" w:eastAsia="zh-CN"/>
              </w:rPr>
              <w:t>20.10.1（换版）</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highlight w:val="none"/>
                <w:lang w:val="en-US" w:eastAsia="zh-CN"/>
              </w:rPr>
              <w:t>2020年4月28日（QMS监督1）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生技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rPr>
                <w:rFonts w:hint="eastAsia" w:ascii="Times New Roman" w:hAnsi="Times New Roman" w:eastAsia="宋体" w:cs="Times New Roman"/>
                <w:color w:val="333333"/>
              </w:rPr>
            </w:pPr>
            <w:r>
              <w:rPr>
                <w:rFonts w:hint="eastAsia" w:ascii="宋体" w:hAnsi="宋体"/>
                <w:sz w:val="21"/>
                <w:szCs w:val="21"/>
              </w:rPr>
              <w:t>水泥基灌浆、压浆材料的生产</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widowControl/>
              <w:spacing w:line="400" w:lineRule="exact"/>
              <w:rPr>
                <w:rFonts w:ascii="宋体" w:hAnsi="宋体"/>
                <w:szCs w:val="21"/>
              </w:rPr>
            </w:pPr>
            <w:r>
              <w:rPr>
                <w:rFonts w:hint="eastAsia" w:ascii="宋体" w:hAnsi="宋体"/>
                <w:sz w:val="21"/>
                <w:szCs w:val="21"/>
              </w:rPr>
              <w:t>《公路桥涵施工技术规范》JTG/T F50-2011、《</w:t>
            </w:r>
            <w:r>
              <w:rPr>
                <w:rFonts w:ascii="宋体" w:hAnsi="宋体"/>
                <w:sz w:val="21"/>
                <w:szCs w:val="21"/>
              </w:rPr>
              <w:t>铁路桥梁盆式支座</w:t>
            </w:r>
            <w:r>
              <w:rPr>
                <w:rFonts w:hint="eastAsia" w:ascii="宋体" w:hAnsi="宋体"/>
                <w:sz w:val="21"/>
                <w:szCs w:val="21"/>
              </w:rPr>
              <w:t>》</w:t>
            </w:r>
            <w:r>
              <w:rPr>
                <w:rFonts w:ascii="宋体" w:hAnsi="宋体"/>
                <w:sz w:val="21"/>
                <w:szCs w:val="21"/>
              </w:rPr>
              <w:t>TB/T 2331-2013</w:t>
            </w:r>
            <w:r>
              <w:rPr>
                <w:rFonts w:hint="eastAsia" w:ascii="宋体" w:hAnsi="宋体"/>
                <w:sz w:val="21"/>
                <w:szCs w:val="21"/>
              </w:rPr>
              <w:t>、《水泥基灌浆材料应用技术规范</w:t>
            </w:r>
            <w:r>
              <w:rPr>
                <w:rFonts w:ascii="宋体" w:hAnsi="宋体"/>
                <w:sz w:val="21"/>
                <w:szCs w:val="21"/>
              </w:rPr>
              <w:t> </w:t>
            </w:r>
            <w:r>
              <w:rPr>
                <w:rFonts w:hint="eastAsia" w:ascii="宋体" w:hAnsi="宋体"/>
                <w:sz w:val="21"/>
                <w:szCs w:val="21"/>
              </w:rPr>
              <w:t>》GB/T50448-015等标准</w:t>
            </w:r>
            <w:r>
              <w:rPr>
                <w:rFonts w:hint="eastAsia" w:ascii="宋体" w:hAnsi="宋体"/>
                <w:szCs w:val="21"/>
              </w:rPr>
              <w:t>、产品质量法、与客户签订的合同及技术协议等。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rPr>
                <w:rFonts w:hint="eastAsia" w:ascii="Times New Roman" w:hAnsi="Times New Roman" w:eastAsia="宋体" w:cs="Times New Roman"/>
                <w:color w:val="333333"/>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w:t>
      </w:r>
      <w:r>
        <w:rPr>
          <w:rFonts w:hint="eastAsia"/>
          <w:b/>
          <w:color w:val="000000" w:themeColor="text1"/>
          <w:spacing w:val="-10"/>
          <w:szCs w:val="21"/>
          <w:u w:val="single"/>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s="宋体"/>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lang w:eastAsia="zh-CN"/>
              </w:rPr>
              <w:t>质量、环境、</w:t>
            </w:r>
            <w:r>
              <w:rPr>
                <w:rFonts w:hint="eastAsia" w:ascii="宋体" w:hAnsi="宋体" w:cs="宋体"/>
                <w:szCs w:val="21"/>
              </w:rPr>
              <w:t xml:space="preserve">职业健康安全管理方针： </w:t>
            </w:r>
          </w:p>
          <w:p>
            <w:pPr>
              <w:jc w:val="left"/>
              <w:rPr>
                <w:b/>
                <w:color w:val="000000" w:themeColor="text1"/>
              </w:rPr>
            </w:pPr>
            <w:r>
              <w:rPr>
                <w:rFonts w:hint="eastAsia" w:ascii="宋体" w:hAnsi="宋体" w:cs="宋体"/>
                <w:szCs w:val="21"/>
              </w:rPr>
              <w:t>“</w:t>
            </w:r>
            <w:r>
              <w:rPr>
                <w:rFonts w:hint="eastAsia" w:ascii="宋体" w:hAnsi="宋体" w:eastAsia="宋体" w:cs="宋体"/>
                <w:lang w:eastAsia="zh-CN"/>
              </w:rPr>
              <w:t>保证质量  及时交货  以客为尊，顾客满意</w:t>
            </w:r>
            <w:r>
              <w:rPr>
                <w:rFonts w:hint="eastAsia" w:ascii="宋体" w:hAnsi="宋体" w:cs="宋体"/>
                <w:lang w:eastAsia="zh-CN"/>
              </w:rPr>
              <w:t>；</w:t>
            </w:r>
            <w:r>
              <w:rPr>
                <w:rFonts w:hint="eastAsia" w:ascii="宋体" w:hAnsi="宋体" w:eastAsia="宋体" w:cs="宋体"/>
                <w:lang w:eastAsia="zh-CN"/>
              </w:rPr>
              <w:t>节能降耗，保护环境，以人为本，安全第一</w:t>
            </w:r>
            <w:r>
              <w:rPr>
                <w:rFonts w:hint="eastAsia" w:ascii="宋体" w:hAnsi="宋体" w:cs="宋体"/>
                <w:lang w:eastAsia="zh-CN"/>
              </w:rPr>
              <w:t>；</w:t>
            </w:r>
            <w:r>
              <w:rPr>
                <w:rFonts w:hint="eastAsia" w:ascii="宋体" w:hAnsi="宋体" w:eastAsia="宋体" w:cs="宋体"/>
                <w:lang w:eastAsia="zh-CN"/>
              </w:rPr>
              <w:t>预防为主，综合治理，规范管理，持续改进</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rPr>
                <w:rFonts w:hint="eastAsia" w:ascii="宋体" w:hAnsi="宋体"/>
                <w:sz w:val="21"/>
                <w:szCs w:val="21"/>
              </w:rPr>
            </w:pPr>
            <w:r>
              <w:rPr>
                <w:rFonts w:hint="eastAsia" w:ascii="宋体" w:hAnsi="宋体"/>
                <w:b/>
                <w:sz w:val="21"/>
                <w:szCs w:val="21"/>
              </w:rPr>
              <w:t>质量管理体系过程有：</w:t>
            </w:r>
            <w:r>
              <w:rPr>
                <w:rFonts w:hint="eastAsia" w:ascii="宋体" w:hAnsi="宋体"/>
                <w:sz w:val="21"/>
                <w:szCs w:val="21"/>
              </w:rPr>
              <w:t>水泥基灌浆、压浆材料的生产流程：</w:t>
            </w:r>
          </w:p>
          <w:p>
            <w:pPr>
              <w:widowControl/>
              <w:spacing w:line="400" w:lineRule="exact"/>
              <w:rPr>
                <w:rFonts w:hint="eastAsia" w:ascii="宋体" w:hAnsi="宋体"/>
                <w:sz w:val="21"/>
                <w:szCs w:val="21"/>
              </w:rPr>
            </w:pPr>
            <w:r>
              <w:rPr>
                <w:rFonts w:hint="eastAsia" w:ascii="宋体" w:hAnsi="宋体"/>
                <w:sz w:val="21"/>
                <w:szCs w:val="21"/>
              </w:rPr>
              <w:t>配料—混合—成品包装—抽样检验—成品入库</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sz w:val="21"/>
                <w:szCs w:val="21"/>
              </w:rPr>
              <w:t>配料、混合工序为关键过程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无</w:t>
            </w:r>
          </w:p>
          <w:p>
            <w:pPr>
              <w:tabs>
                <w:tab w:val="left" w:pos="540"/>
              </w:tabs>
              <w:spacing w:line="300" w:lineRule="exact"/>
              <w:ind w:left="201" w:hanging="211" w:hangingChars="100"/>
              <w:rPr>
                <w:rFonts w:ascii="宋体" w:hAnsi="宋体"/>
                <w:b/>
                <w:color w:val="000000" w:themeColor="text1"/>
                <w:szCs w:val="21"/>
              </w:rPr>
            </w:pPr>
            <w:r>
              <w:rPr>
                <w:rFonts w:ascii="宋体" w:hAnsi="宋体"/>
                <w:b/>
                <w:sz w:val="21"/>
                <w:szCs w:val="21"/>
              </w:rPr>
              <w:pict>
                <v:shape id="_x0000_s2054" o:spid="_x0000_s2054"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cs="宋体"/>
                <w:color w:val="000000"/>
                <w:sz w:val="21"/>
                <w:szCs w:val="21"/>
                <w:u w:val="single"/>
              </w:rPr>
              <w:t>公司的产品按客户要求及国家相关法律法规和标准进行生产，生产工艺成熟固定，不涉及新的产品的设计，故8.3不适用。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rPr>
              <w:t>：固废的控制、潜在火灾的应急预案等。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w:t>
            </w:r>
            <w:r>
              <w:rPr>
                <w:rFonts w:hint="eastAsia" w:ascii="宋体" w:hAnsi="宋体" w:eastAsia="宋体" w:cs="Times New Roman"/>
                <w:color w:val="000000" w:themeColor="text1"/>
              </w:rPr>
              <w:t>危险源</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火灾；触电；机械伤害；高处坠落；职业病（粉尘、噪声）</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，与之相关的过程有</w:t>
            </w:r>
            <w:r>
              <w:rPr>
                <w:rFonts w:hint="eastAsia" w:ascii="宋体" w:hAnsi="宋体" w:eastAsia="宋体" w:cs="Times New Roman"/>
                <w:color w:val="000000" w:themeColor="text1"/>
                <w:lang w:val="en-US" w:eastAsia="zh-CN"/>
              </w:rPr>
              <w:t>投料、</w:t>
            </w:r>
            <w:r>
              <w:rPr>
                <w:rFonts w:hint="eastAsia" w:ascii="宋体" w:hAnsi="宋体" w:eastAsia="宋体" w:cs="Times New Roman"/>
                <w:color w:val="000000" w:themeColor="text1"/>
              </w:rPr>
              <w:t>混合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包装等</w:t>
            </w:r>
            <w:r>
              <w:rPr>
                <w:rFonts w:hint="eastAsia" w:ascii="宋体" w:hAnsi="宋体" w:eastAsia="宋体" w:cs="Times New Roman"/>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szCs w:val="21"/>
              </w:rPr>
            </w:pPr>
            <w:r>
              <w:rPr>
                <w:rFonts w:hint="eastAsia"/>
                <w:szCs w:val="21"/>
              </w:rPr>
              <w:t>质量、环境、职业健康安全目标：</w:t>
            </w:r>
          </w:p>
          <w:p>
            <w:pPr>
              <w:spacing w:line="360" w:lineRule="auto"/>
              <w:jc w:val="left"/>
              <w:rPr>
                <w:rFonts w:hint="default" w:ascii="宋体" w:hAnsi="宋体" w:eastAsia="宋体" w:cs="宋体"/>
                <w:szCs w:val="21"/>
                <w:highlight w:val="none"/>
                <w:lang w:val="en-US" w:eastAsia="zh-CN"/>
              </w:rPr>
            </w:pPr>
            <w:r>
              <w:rPr>
                <w:rFonts w:hint="eastAsia" w:ascii="宋体" w:hAnsi="宋体" w:cs="宋体"/>
                <w:szCs w:val="21"/>
              </w:rPr>
              <w:t>质量目标：</w:t>
            </w:r>
            <w:r>
              <w:rPr>
                <w:rFonts w:hint="eastAsia" w:ascii="宋体" w:hAnsi="宋体" w:cs="宋体"/>
                <w:szCs w:val="21"/>
                <w:lang w:val="en-US" w:eastAsia="zh-CN"/>
              </w:rPr>
              <w:t xml:space="preserve">                       </w:t>
            </w:r>
          </w:p>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产品一次交验合格率≥98%</w:t>
            </w:r>
            <w:r>
              <w:rPr>
                <w:rFonts w:hint="eastAsia" w:ascii="宋体" w:hAnsi="宋体" w:eastAsia="宋体" w:cs="宋体"/>
                <w:b w:val="0"/>
                <w:bCs w:val="0"/>
                <w:sz w:val="21"/>
                <w:szCs w:val="21"/>
                <w:lang w:val="en-US" w:eastAsia="zh-CN"/>
              </w:rPr>
              <w:t>；</w:t>
            </w:r>
          </w:p>
          <w:p>
            <w:pPr>
              <w:spacing w:line="24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顾客满意度≥9</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w:t>
            </w:r>
          </w:p>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合同履约率100%。</w:t>
            </w:r>
          </w:p>
          <w:p>
            <w:pPr>
              <w:jc w:val="left"/>
              <w:rPr>
                <w:rFonts w:hint="eastAsia"/>
                <w:szCs w:val="22"/>
                <w:lang w:eastAsia="zh-CN"/>
              </w:rPr>
            </w:pPr>
            <w:r>
              <w:rPr>
                <w:rFonts w:hint="eastAsia"/>
                <w:szCs w:val="22"/>
                <w:lang w:eastAsia="zh-CN"/>
              </w:rPr>
              <w:t>环境、职业健康安全目标：</w:t>
            </w:r>
          </w:p>
          <w:p>
            <w:pPr>
              <w:spacing w:line="240" w:lineRule="auto"/>
              <w:rPr>
                <w:rFonts w:hint="default" w:ascii="宋体" w:hAnsi="宋体" w:eastAsia="宋体" w:cs="宋体"/>
                <w:b w:val="0"/>
                <w:bCs w:val="0"/>
                <w:sz w:val="21"/>
                <w:szCs w:val="21"/>
                <w:lang w:val="en-US" w:eastAsia="zh-CN"/>
              </w:rPr>
            </w:pPr>
            <w:r>
              <w:rPr>
                <w:rFonts w:hint="eastAsia"/>
                <w:b w:val="0"/>
                <w:bCs w:val="0"/>
                <w:sz w:val="21"/>
                <w:szCs w:val="21"/>
                <w:lang w:val="en-US" w:eastAsia="zh-CN"/>
              </w:rPr>
              <w:t>1）</w:t>
            </w:r>
            <w:r>
              <w:rPr>
                <w:rFonts w:hint="eastAsia" w:ascii="宋体" w:hAnsi="宋体" w:eastAsia="宋体" w:cs="宋体"/>
                <w:b w:val="0"/>
                <w:bCs w:val="0"/>
                <w:sz w:val="21"/>
                <w:szCs w:val="21"/>
                <w:lang w:eastAsia="zh-CN"/>
              </w:rPr>
              <w:t>固体分类收集</w:t>
            </w:r>
            <w:r>
              <w:rPr>
                <w:rFonts w:ascii="宋体" w:hAnsi="宋体" w:eastAsia="宋体" w:cs="宋体"/>
                <w:b w:val="0"/>
                <w:bCs w:val="0"/>
                <w:sz w:val="21"/>
                <w:szCs w:val="21"/>
                <w:lang w:eastAsia="zh-CN"/>
              </w:rPr>
              <w:t>,</w:t>
            </w:r>
            <w:r>
              <w:rPr>
                <w:rFonts w:hint="eastAsia" w:ascii="宋体" w:hAnsi="宋体" w:eastAsia="宋体" w:cs="宋体"/>
                <w:b w:val="0"/>
                <w:bCs w:val="0"/>
                <w:sz w:val="21"/>
                <w:szCs w:val="21"/>
                <w:lang w:eastAsia="zh-CN"/>
              </w:rPr>
              <w:t>集中处理</w:t>
            </w:r>
            <w:r>
              <w:rPr>
                <w:rFonts w:hint="eastAsia" w:ascii="宋体" w:hAnsi="宋体" w:eastAsia="宋体" w:cs="宋体"/>
                <w:b w:val="0"/>
                <w:bCs w:val="0"/>
                <w:sz w:val="21"/>
                <w:szCs w:val="21"/>
                <w:lang w:val="en-US" w:eastAsia="zh-CN"/>
              </w:rPr>
              <w:t>率</w:t>
            </w:r>
            <w:r>
              <w:rPr>
                <w:rFonts w:ascii="宋体" w:hAnsi="宋体" w:eastAsia="宋体" w:cs="宋体"/>
                <w:b w:val="0"/>
                <w:bCs w:val="0"/>
                <w:sz w:val="21"/>
                <w:szCs w:val="21"/>
                <w:lang w:eastAsia="zh-CN"/>
              </w:rPr>
              <w:t>100%</w:t>
            </w:r>
            <w:r>
              <w:rPr>
                <w:rFonts w:hint="eastAsia" w:ascii="宋体" w:hAnsi="宋体" w:eastAsia="宋体" w:cs="宋体"/>
                <w:b w:val="0"/>
                <w:bCs w:val="0"/>
                <w:sz w:val="21"/>
                <w:szCs w:val="21"/>
                <w:lang w:val="en-US" w:eastAsia="zh-CN"/>
              </w:rPr>
              <w:t>；</w:t>
            </w:r>
          </w:p>
          <w:p>
            <w:pPr>
              <w:spacing w:line="240" w:lineRule="auto"/>
              <w:jc w:val="left"/>
              <w:rPr>
                <w:rFonts w:hint="default"/>
                <w:b w:val="0"/>
                <w:bCs w:val="0"/>
                <w:sz w:val="21"/>
                <w:szCs w:val="21"/>
                <w:lang w:val="en-US" w:eastAsia="zh-CN"/>
              </w:rPr>
            </w:pPr>
            <w:r>
              <w:rPr>
                <w:rFonts w:hint="eastAsia"/>
                <w:b w:val="0"/>
                <w:bCs w:val="0"/>
                <w:sz w:val="21"/>
                <w:szCs w:val="21"/>
                <w:lang w:val="en-US" w:eastAsia="zh-CN"/>
              </w:rPr>
              <w:t>2）</w:t>
            </w:r>
            <w:r>
              <w:rPr>
                <w:rFonts w:hint="eastAsia" w:ascii="宋体" w:hAnsi="宋体" w:eastAsia="宋体" w:cs="宋体"/>
                <w:b w:val="0"/>
                <w:bCs w:val="0"/>
                <w:sz w:val="21"/>
                <w:szCs w:val="21"/>
                <w:lang w:eastAsia="zh-CN"/>
              </w:rPr>
              <w:t>重要环境污染事故为0</w:t>
            </w:r>
            <w:r>
              <w:rPr>
                <w:rFonts w:hint="eastAsia" w:ascii="宋体" w:hAnsi="宋体" w:eastAsia="宋体" w:cs="宋体"/>
                <w:b w:val="0"/>
                <w:bCs w:val="0"/>
                <w:sz w:val="21"/>
                <w:szCs w:val="21"/>
                <w:lang w:val="en-US" w:eastAsia="zh-CN"/>
              </w:rPr>
              <w:t>；</w:t>
            </w:r>
          </w:p>
          <w:p>
            <w:pPr>
              <w:spacing w:line="240" w:lineRule="auto"/>
              <w:rPr>
                <w:rFonts w:hint="default" w:ascii="宋体" w:hAnsi="宋体" w:eastAsia="宋体" w:cs="宋体"/>
                <w:b w:val="0"/>
                <w:bCs w:val="0"/>
                <w:sz w:val="21"/>
                <w:szCs w:val="21"/>
                <w:lang w:val="en-US" w:eastAsia="zh-CN"/>
              </w:rPr>
            </w:pPr>
            <w:r>
              <w:rPr>
                <w:rFonts w:hint="eastAsia"/>
                <w:b w:val="0"/>
                <w:bCs w:val="0"/>
                <w:sz w:val="21"/>
                <w:szCs w:val="21"/>
                <w:lang w:val="en-US" w:eastAsia="zh-CN"/>
              </w:rPr>
              <w:t>3）</w:t>
            </w:r>
            <w:r>
              <w:rPr>
                <w:rFonts w:hint="eastAsia" w:ascii="宋体" w:hAnsi="宋体" w:eastAsia="宋体" w:cs="宋体"/>
                <w:b w:val="0"/>
                <w:bCs w:val="0"/>
                <w:sz w:val="21"/>
                <w:szCs w:val="21"/>
                <w:lang w:eastAsia="zh-CN"/>
              </w:rPr>
              <w:t>火灾事故为零</w:t>
            </w:r>
            <w:r>
              <w:rPr>
                <w:rFonts w:hint="eastAsia" w:ascii="宋体" w:hAnsi="宋体" w:eastAsia="宋体" w:cs="宋体"/>
                <w:b w:val="0"/>
                <w:bCs w:val="0"/>
                <w:sz w:val="21"/>
                <w:szCs w:val="21"/>
                <w:lang w:val="en-US" w:eastAsia="zh-CN"/>
              </w:rPr>
              <w:t>；</w:t>
            </w:r>
          </w:p>
          <w:p>
            <w:pPr>
              <w:spacing w:line="240" w:lineRule="auto"/>
              <w:rPr>
                <w:rFonts w:ascii="宋体" w:hAnsi="宋体" w:eastAsia="宋体" w:cs="宋体"/>
                <w:b w:val="0"/>
                <w:bCs w:val="0"/>
                <w:sz w:val="21"/>
                <w:szCs w:val="21"/>
                <w:lang w:eastAsia="zh-CN"/>
              </w:rPr>
            </w:pPr>
            <w:r>
              <w:rPr>
                <w:rFonts w:hint="eastAsia"/>
                <w:b w:val="0"/>
                <w:bCs w:val="0"/>
                <w:sz w:val="21"/>
                <w:szCs w:val="21"/>
                <w:lang w:val="en-US" w:eastAsia="zh-CN"/>
              </w:rPr>
              <w:t>4）</w:t>
            </w:r>
            <w:r>
              <w:rPr>
                <w:rFonts w:ascii="宋体" w:hAnsi="宋体" w:eastAsia="宋体" w:cs="宋体"/>
                <w:b w:val="0"/>
                <w:bCs w:val="0"/>
                <w:sz w:val="21"/>
                <w:szCs w:val="21"/>
                <w:lang w:eastAsia="zh-CN"/>
              </w:rPr>
              <w:t>职业病发生率0</w:t>
            </w:r>
            <w:r>
              <w:rPr>
                <w:rFonts w:hint="eastAsia" w:ascii="宋体" w:hAnsi="宋体" w:eastAsia="宋体" w:cs="宋体"/>
                <w:b w:val="0"/>
                <w:bCs w:val="0"/>
                <w:sz w:val="21"/>
                <w:szCs w:val="21"/>
                <w:lang w:eastAsia="zh-CN"/>
              </w:rPr>
              <w:t>。</w:t>
            </w:r>
          </w:p>
          <w:p>
            <w:pPr>
              <w:spacing w:line="300" w:lineRule="exact"/>
              <w:ind w:firstLine="42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组织各部门对原管理体系文件进行换版，由质量管理体系整合为质量、环境和职业健康安全三体系，于2020年10月1日经总经理批准</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210" w:firstLineChars="100"/>
              <w:rPr>
                <w:rFonts w:ascii="宋体" w:hAnsi="宋体"/>
                <w:b/>
                <w:color w:val="000000" w:themeColor="text1"/>
                <w:sz w:val="20"/>
                <w:szCs w:val="20"/>
              </w:rPr>
            </w:pPr>
            <w:r>
              <w:rPr>
                <w:rFonts w:hint="eastAsia" w:ascii="宋体" w:hAnsi="宋体" w:eastAsia="宋体" w:cs="宋体"/>
                <w:sz w:val="21"/>
                <w:szCs w:val="21"/>
                <w:lang w:val="en-US" w:eastAsia="zh-CN"/>
              </w:rPr>
              <w:t>组织有用于产品生产的场所及经营办公场所，生产车间面</w:t>
            </w:r>
            <w:r>
              <w:rPr>
                <w:rFonts w:hint="eastAsia" w:ascii="宋体" w:hAnsi="宋体" w:cs="宋体"/>
                <w:sz w:val="21"/>
                <w:szCs w:val="21"/>
                <w:lang w:val="en-US" w:eastAsia="zh-CN"/>
              </w:rPr>
              <w:t>积1000平方米，办公面积150平方米。</w:t>
            </w:r>
            <w:r>
              <w:rPr>
                <w:rFonts w:hint="eastAsia" w:ascii="宋体" w:hAnsi="宋体" w:cs="宋体"/>
                <w:sz w:val="21"/>
                <w:szCs w:val="21"/>
                <w:lang w:eastAsia="zh-CN"/>
              </w:rPr>
              <w:t>主要设备包括：干粉砂浆全自动生产线、水泥胶砂搅拌机等，可以满足水泥基灌浆、压浆材料的生产 需要。生产部对生产设备按月方式进行点检维护保养，并实施</w:t>
            </w:r>
            <w:r>
              <w:rPr>
                <w:rFonts w:hint="eastAsia" w:ascii="宋体" w:hAnsi="宋体" w:cs="宋体"/>
                <w:sz w:val="21"/>
                <w:szCs w:val="21"/>
                <w:highlight w:val="none"/>
                <w:lang w:eastAsia="zh-CN"/>
              </w:rPr>
              <w:t>。特种设备：叉车两台，行车一台，都能提供有效年检报告。公司未建立信息管理系统用于生产和服务。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lang w:eastAsia="zh-CN"/>
              </w:rPr>
              <w:t>生产车间和</w:t>
            </w:r>
            <w:r>
              <w:rPr>
                <w:rFonts w:hint="eastAsia" w:ascii="宋体" w:hAnsi="宋体" w:cs="宋体"/>
                <w:szCs w:val="21"/>
              </w:rPr>
              <w:t>办公场所和内设备布置合理，通道畅通，照明设施齐全，均配备了消防设施等设施。办公室明亮，培训场所光线较充足。每月由</w:t>
            </w:r>
            <w:r>
              <w:rPr>
                <w:rFonts w:hint="eastAsia" w:ascii="宋体" w:hAnsi="宋体" w:cs="宋体"/>
                <w:szCs w:val="21"/>
                <w:lang w:val="en-US" w:eastAsia="zh-CN"/>
              </w:rPr>
              <w:t>综合</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atLeas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查《计量器具台账》生产车间及检验部门均按策划的要求配置了相应的检测设备，其中包括：电子秤、电子天平、全自动水泥抗折抗压试验机、水泥浆稠度测定仪、维卡仪等，均需采用委外送检、抽在用检测设备能提供有效校准证书。</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default" w:ascii="宋体" w:hAnsi="宋体" w:eastAsia="宋体"/>
                <w:sz w:val="20"/>
                <w:szCs w:val="20"/>
                <w:lang w:val="en-US" w:eastAsia="zh-CN"/>
              </w:rPr>
            </w:pPr>
            <w:r>
              <w:rPr>
                <w:rFonts w:hint="eastAsia" w:ascii="宋体" w:hAnsi="宋体"/>
                <w:sz w:val="20"/>
                <w:szCs w:val="20"/>
              </w:rPr>
              <w:t>消防栓、灭火器</w:t>
            </w:r>
            <w:r>
              <w:rPr>
                <w:rFonts w:hint="eastAsia" w:ascii="宋体" w:hAnsi="宋体"/>
                <w:b w:val="0"/>
                <w:bCs w:val="0"/>
                <w:sz w:val="20"/>
                <w:szCs w:val="20"/>
                <w:highlight w:val="none"/>
                <w:lang w:eastAsia="zh-CN"/>
              </w:rPr>
              <w:t>、</w:t>
            </w:r>
            <w:r>
              <w:rPr>
                <w:rFonts w:hint="eastAsia" w:ascii="宋体" w:hAnsi="宋体"/>
                <w:b w:val="0"/>
                <w:bCs w:val="0"/>
                <w:sz w:val="20"/>
                <w:szCs w:val="20"/>
                <w:highlight w:val="none"/>
                <w:lang w:val="en-US" w:eastAsia="zh-CN"/>
              </w:rPr>
              <w:t>脉冲式吸尘器。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hint="default" w:eastAsia="宋体"/>
                <w:b/>
                <w:color w:val="000000" w:themeColor="text1"/>
                <w:sz w:val="20"/>
                <w:szCs w:val="20"/>
                <w:lang w:val="en-US" w:eastAsia="zh-CN"/>
              </w:rPr>
            </w:pPr>
            <w:r>
              <w:rPr>
                <w:rFonts w:hint="eastAsia"/>
                <w:b/>
                <w:color w:val="000000" w:themeColor="text1"/>
                <w:sz w:val="20"/>
                <w:szCs w:val="20"/>
                <w:lang w:eastAsia="zh-CN"/>
              </w:rPr>
              <w:t>提供有：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rPr>
              <w:t>：固废的控制、潜在火灾的应急预案。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r>
              <w:rPr>
                <w:rFonts w:hint="eastAsia"/>
                <w:b/>
                <w:bCs w:val="0"/>
                <w:color w:val="000000" w:themeColor="text1"/>
                <w:sz w:val="20"/>
                <w:szCs w:val="20"/>
                <w:highlight w:val="none"/>
                <w:lang w:val="en-US" w:eastAsia="zh-CN"/>
              </w:rPr>
              <w:t>提供有行车、叉车的年检报告。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通过</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w:t>
            </w:r>
            <w:r>
              <w:rPr>
                <w:rFonts w:hint="eastAsia" w:ascii="宋体" w:hAnsi="宋体" w:cs="宋体"/>
                <w:color w:val="000000"/>
                <w:szCs w:val="21"/>
                <w:highlight w:val="none"/>
              </w:rPr>
              <w:t>顾客满意度调查按规定实施，</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月实施，满意度评价9</w:t>
            </w:r>
            <w:r>
              <w:rPr>
                <w:rFonts w:hint="eastAsia" w:ascii="宋体" w:hAnsi="宋体" w:cs="宋体"/>
                <w:szCs w:val="21"/>
                <w:highlight w:val="none"/>
                <w:lang w:val="en-US" w:eastAsia="zh-CN"/>
              </w:rPr>
              <w:t>0</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highlight w:val="none"/>
                <w:lang w:val="en-US" w:eastAsia="zh-CN"/>
              </w:rPr>
              <w:t>涉及综合部Q/E/O7.5.3条款</w:t>
            </w:r>
            <w:r>
              <w:rPr>
                <w:rFonts w:hint="eastAsia" w:ascii="宋体" w:hAnsi="宋体"/>
                <w:szCs w:val="21"/>
                <w:lang w:val="zh-CN"/>
              </w:rPr>
              <w:t>抽查“记录一览表”，明确了记录名称/记录编号</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提供有：固定污染源排污登记回执 ，登记编号：91500227673381258Y001Z。</w:t>
            </w:r>
          </w:p>
          <w:p>
            <w:pPr>
              <w:spacing w:line="240" w:lineRule="exact"/>
              <w:rPr>
                <w:rFonts w:hint="eastAsia" w:ascii="Times New Roman" w:hAnsi="Times New Roman" w:eastAsia="宋体" w:cs="Times New Roman"/>
                <w:b/>
                <w:color w:val="000000" w:themeColor="text1"/>
                <w:sz w:val="20"/>
                <w:szCs w:val="20"/>
                <w:lang w:eastAsia="zh-CN"/>
              </w:rPr>
            </w:pPr>
            <w:r>
              <w:rPr>
                <w:rFonts w:hint="eastAsia" w:ascii="Times New Roman" w:hAnsi="Times New Roman" w:eastAsia="宋体" w:cs="Times New Roman"/>
                <w:b/>
                <w:color w:val="000000" w:themeColor="text1"/>
                <w:sz w:val="20"/>
                <w:szCs w:val="20"/>
              </w:rPr>
              <w:t>提供有20</w:t>
            </w:r>
            <w:r>
              <w:rPr>
                <w:rFonts w:hint="eastAsia" w:ascii="Times New Roman" w:hAnsi="Times New Roman" w:eastAsia="宋体" w:cs="Times New Roman"/>
                <w:b/>
                <w:color w:val="000000" w:themeColor="text1"/>
                <w:sz w:val="20"/>
                <w:szCs w:val="20"/>
                <w:lang w:val="en-US" w:eastAsia="zh-CN"/>
              </w:rPr>
              <w:t>19</w:t>
            </w:r>
            <w:r>
              <w:rPr>
                <w:rFonts w:hint="eastAsia" w:ascii="Times New Roman" w:hAnsi="Times New Roman" w:eastAsia="宋体" w:cs="Times New Roman"/>
                <w:b/>
                <w:color w:val="000000" w:themeColor="text1"/>
                <w:sz w:val="20"/>
                <w:szCs w:val="20"/>
              </w:rPr>
              <w:t>年</w:t>
            </w:r>
            <w:r>
              <w:rPr>
                <w:rFonts w:hint="eastAsia" w:ascii="Times New Roman" w:hAnsi="Times New Roman" w:eastAsia="宋体" w:cs="Times New Roman"/>
                <w:b/>
                <w:color w:val="000000" w:themeColor="text1"/>
                <w:sz w:val="20"/>
                <w:szCs w:val="20"/>
                <w:lang w:val="en-US" w:eastAsia="zh-CN"/>
              </w:rPr>
              <w:t>11</w:t>
            </w:r>
            <w:r>
              <w:rPr>
                <w:rFonts w:hint="eastAsia" w:ascii="Times New Roman" w:hAnsi="Times New Roman" w:eastAsia="宋体" w:cs="Times New Roman"/>
                <w:b/>
                <w:color w:val="000000" w:themeColor="text1"/>
                <w:sz w:val="20"/>
                <w:szCs w:val="20"/>
              </w:rPr>
              <w:t>月</w:t>
            </w:r>
            <w:r>
              <w:rPr>
                <w:rFonts w:hint="eastAsia" w:ascii="Times New Roman" w:hAnsi="Times New Roman" w:eastAsia="宋体" w:cs="Times New Roman"/>
                <w:b/>
                <w:color w:val="000000" w:themeColor="text1"/>
                <w:sz w:val="20"/>
                <w:szCs w:val="20"/>
                <w:lang w:val="en-US" w:eastAsia="zh-CN"/>
              </w:rPr>
              <w:t>21</w:t>
            </w:r>
            <w:r>
              <w:rPr>
                <w:rFonts w:hint="eastAsia" w:ascii="Times New Roman" w:hAnsi="Times New Roman" w:eastAsia="宋体" w:cs="Times New Roman"/>
                <w:b/>
                <w:color w:val="000000" w:themeColor="text1"/>
                <w:sz w:val="20"/>
                <w:szCs w:val="20"/>
              </w:rPr>
              <w:t>日污染物排放</w:t>
            </w:r>
            <w:r>
              <w:rPr>
                <w:rFonts w:hint="eastAsia" w:ascii="Times New Roman" w:hAnsi="Times New Roman" w:eastAsia="宋体" w:cs="Times New Roman"/>
                <w:b/>
                <w:color w:val="000000" w:themeColor="text1"/>
                <w:sz w:val="20"/>
                <w:szCs w:val="20"/>
                <w:lang w:val="en-US" w:eastAsia="zh-CN"/>
              </w:rPr>
              <w:t>验收检</w:t>
            </w:r>
            <w:r>
              <w:rPr>
                <w:rFonts w:hint="eastAsia" w:ascii="Times New Roman" w:hAnsi="Times New Roman" w:eastAsia="宋体" w:cs="Times New Roman"/>
                <w:b/>
                <w:color w:val="000000" w:themeColor="text1"/>
                <w:sz w:val="20"/>
                <w:szCs w:val="20"/>
              </w:rPr>
              <w:t>测报告，</w:t>
            </w:r>
            <w:r>
              <w:rPr>
                <w:rFonts w:hint="eastAsia" w:ascii="Times New Roman" w:hAnsi="Times New Roman" w:eastAsia="宋体" w:cs="Times New Roman"/>
                <w:b/>
                <w:color w:val="000000" w:themeColor="text1"/>
                <w:sz w:val="20"/>
                <w:szCs w:val="20"/>
                <w:lang w:eastAsia="zh-CN"/>
              </w:rPr>
              <w:t>报告</w:t>
            </w:r>
            <w:r>
              <w:rPr>
                <w:rFonts w:hint="eastAsia" w:ascii="Times New Roman" w:hAnsi="Times New Roman" w:eastAsia="宋体" w:cs="Times New Roman"/>
                <w:b/>
                <w:color w:val="000000" w:themeColor="text1"/>
                <w:sz w:val="20"/>
                <w:szCs w:val="20"/>
              </w:rPr>
              <w:t>编号：</w:t>
            </w:r>
            <w:r>
              <w:rPr>
                <w:rFonts w:hint="eastAsia" w:ascii="Times New Roman" w:hAnsi="Times New Roman" w:eastAsia="宋体" w:cs="Times New Roman"/>
                <w:b/>
                <w:color w:val="000000" w:themeColor="text1"/>
                <w:sz w:val="20"/>
                <w:szCs w:val="20"/>
                <w:lang w:val="en-US" w:eastAsia="zh-CN"/>
              </w:rPr>
              <w:t>惠源（检）字[2019]第YS96号</w:t>
            </w:r>
            <w:r>
              <w:rPr>
                <w:rFonts w:hint="eastAsia" w:ascii="Times New Roman" w:hAnsi="Times New Roman" w:eastAsia="宋体" w:cs="Times New Roman"/>
                <w:b/>
                <w:color w:val="000000" w:themeColor="text1"/>
                <w:sz w:val="20"/>
                <w:szCs w:val="20"/>
              </w:rPr>
              <w:t>。</w:t>
            </w:r>
            <w:r>
              <w:rPr>
                <w:rFonts w:hint="eastAsia" w:ascii="Times New Roman" w:hAnsi="Times New Roman" w:eastAsia="宋体" w:cs="Times New Roman"/>
                <w:b/>
                <w:color w:val="000000" w:themeColor="text1"/>
                <w:sz w:val="20"/>
                <w:szCs w:val="20"/>
                <w:lang w:eastAsia="zh-CN"/>
              </w:rPr>
              <w:t>监测项目：</w:t>
            </w:r>
            <w:r>
              <w:rPr>
                <w:rFonts w:hint="eastAsia" w:ascii="Times New Roman" w:hAnsi="Times New Roman" w:eastAsia="宋体" w:cs="Times New Roman"/>
                <w:b/>
                <w:color w:val="000000" w:themeColor="text1"/>
                <w:sz w:val="20"/>
                <w:szCs w:val="20"/>
              </w:rPr>
              <w:t>噪声、废气、废水</w:t>
            </w:r>
            <w:r>
              <w:rPr>
                <w:rFonts w:hint="eastAsia" w:ascii="Times New Roman" w:hAnsi="Times New Roman" w:eastAsia="宋体" w:cs="Times New Roman"/>
                <w:b/>
                <w:color w:val="000000" w:themeColor="text1"/>
                <w:sz w:val="20"/>
                <w:szCs w:val="20"/>
                <w:lang w:eastAsia="zh-CN"/>
              </w:rPr>
              <w:t>，</w:t>
            </w:r>
            <w:r>
              <w:rPr>
                <w:rFonts w:hint="eastAsia" w:ascii="Times New Roman" w:hAnsi="Times New Roman" w:eastAsia="宋体" w:cs="Times New Roman"/>
                <w:b/>
                <w:color w:val="000000" w:themeColor="text1"/>
                <w:sz w:val="20"/>
                <w:szCs w:val="20"/>
                <w:lang w:val="en-US" w:eastAsia="zh-CN"/>
              </w:rPr>
              <w:t>见附件</w:t>
            </w:r>
            <w:r>
              <w:rPr>
                <w:rFonts w:hint="eastAsia" w:ascii="Times New Roman" w:hAnsi="Times New Roman" w:eastAsia="宋体" w:cs="Times New Roman"/>
                <w:b/>
                <w:color w:val="000000" w:themeColor="text1"/>
                <w:sz w:val="20"/>
                <w:szCs w:val="20"/>
                <w:lang w:eastAsia="zh-CN"/>
              </w:rPr>
              <w:t>。</w:t>
            </w:r>
          </w:p>
          <w:p>
            <w:pPr>
              <w:spacing w:line="240" w:lineRule="exact"/>
              <w:ind w:firstLine="200" w:firstLineChars="10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auto"/>
              <w:rPr>
                <w:b/>
                <w:sz w:val="20"/>
                <w:szCs w:val="20"/>
              </w:rPr>
            </w:pPr>
            <w:r>
              <w:rPr>
                <w:rFonts w:hint="eastAsia" w:ascii="Times New Roman" w:hAnsi="Times New Roman" w:eastAsia="宋体" w:cs="Times New Roman"/>
                <w:b/>
                <w:color w:val="000000" w:themeColor="text1"/>
                <w:sz w:val="21"/>
                <w:szCs w:val="21"/>
                <w:lang w:val="en-US" w:eastAsia="zh-CN"/>
              </w:rPr>
              <w:t>提供有：1）年产2.2万吨压浆料、灌浆料生产及销售项目竣工环境影响评价文件批准书，渝（津）环准（2019）033号；2）年产2.2万吨压浆料、灌浆料生产及销售项目竣工环境保护验收批复，渝（津）环验（2020）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ascii="宋体" w:hAnsi="宋体"/>
                <w:b/>
                <w:bCs/>
                <w:szCs w:val="21"/>
                <w:highlight w:val="none"/>
              </w:rPr>
              <w:t>提供有: 20</w:t>
            </w:r>
            <w:r>
              <w:rPr>
                <w:rFonts w:hint="eastAsia" w:ascii="宋体" w:hAnsi="宋体"/>
                <w:b/>
                <w:bCs/>
                <w:szCs w:val="21"/>
                <w:highlight w:val="none"/>
                <w:lang w:val="en-US" w:eastAsia="zh-CN"/>
              </w:rPr>
              <w:t>20</w:t>
            </w:r>
            <w:r>
              <w:rPr>
                <w:rFonts w:hint="eastAsia" w:ascii="宋体" w:hAnsi="宋体"/>
                <w:b/>
                <w:bCs/>
                <w:szCs w:val="21"/>
                <w:highlight w:val="none"/>
              </w:rPr>
              <w:t>年</w:t>
            </w:r>
            <w:r>
              <w:rPr>
                <w:rFonts w:hint="eastAsia" w:ascii="宋体" w:hAnsi="宋体"/>
                <w:b/>
                <w:bCs/>
                <w:szCs w:val="21"/>
                <w:highlight w:val="none"/>
                <w:lang w:val="en-US" w:eastAsia="zh-CN"/>
              </w:rPr>
              <w:t>9</w:t>
            </w:r>
            <w:r>
              <w:rPr>
                <w:rFonts w:hint="eastAsia" w:ascii="宋体" w:hAnsi="宋体"/>
                <w:b/>
                <w:bCs/>
                <w:szCs w:val="21"/>
                <w:highlight w:val="none"/>
              </w:rPr>
              <w:t>月职业病</w:t>
            </w:r>
            <w:r>
              <w:rPr>
                <w:rFonts w:hint="eastAsia" w:ascii="宋体" w:hAnsi="宋体"/>
                <w:b/>
                <w:bCs/>
                <w:szCs w:val="21"/>
                <w:highlight w:val="none"/>
                <w:lang w:val="en-US" w:eastAsia="zh-CN"/>
              </w:rPr>
              <w:t>危害因素检测</w:t>
            </w:r>
            <w:r>
              <w:rPr>
                <w:rFonts w:hint="eastAsia" w:ascii="宋体" w:hAnsi="宋体"/>
                <w:b/>
                <w:bCs/>
                <w:szCs w:val="21"/>
                <w:highlight w:val="none"/>
              </w:rPr>
              <w:t>报告</w:t>
            </w:r>
            <w:r>
              <w:rPr>
                <w:rFonts w:hint="eastAsia" w:ascii="宋体" w:hAnsi="宋体"/>
                <w:b/>
                <w:bCs/>
                <w:szCs w:val="21"/>
                <w:highlight w:val="none"/>
                <w:lang w:val="en-US" w:eastAsia="zh-CN"/>
              </w:rPr>
              <w:t>书</w:t>
            </w:r>
            <w:r>
              <w:rPr>
                <w:rFonts w:hint="eastAsia" w:ascii="宋体" w:hAnsi="宋体"/>
                <w:b/>
                <w:bCs/>
                <w:szCs w:val="21"/>
                <w:highlight w:val="none"/>
              </w:rPr>
              <w:t>（（</w:t>
            </w:r>
            <w:r>
              <w:rPr>
                <w:rFonts w:hint="eastAsia" w:ascii="宋体" w:hAnsi="宋体"/>
                <w:b/>
                <w:bCs/>
                <w:szCs w:val="21"/>
                <w:highlight w:val="none"/>
                <w:lang w:val="en-US" w:eastAsia="zh-CN"/>
              </w:rPr>
              <w:t>渝优量职检（2020）第1167</w:t>
            </w:r>
            <w:r>
              <w:rPr>
                <w:rFonts w:hint="eastAsia" w:ascii="宋体" w:hAnsi="宋体"/>
                <w:b/>
                <w:bCs/>
                <w:szCs w:val="21"/>
                <w:highlight w:val="none"/>
              </w:rPr>
              <w:t>号，具体见附件。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lang w:val="en-US" w:eastAsia="zh-CN"/>
              </w:rPr>
              <w:t>项为生技部Q8.5.2条款，</w:t>
            </w:r>
            <w:r>
              <w:rPr>
                <w:rFonts w:hint="eastAsia" w:ascii="Times New Roman" w:hAnsi="Times New Roman" w:eastAsia="宋体" w:cs="Times New Roman"/>
                <w:b/>
                <w:color w:val="000000" w:themeColor="text1"/>
                <w:szCs w:val="21"/>
                <w:lang w:val="en-US" w:eastAsia="zh-CN"/>
              </w:rPr>
              <w:t>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574" w:leftChars="-373" w:hanging="209" w:hangingChars="99"/>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2</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000000" w:themeColor="text1"/>
          <w:highlight w:val="none"/>
        </w:rPr>
        <w:t>严重不符合0项，一般不符合</w:t>
      </w:r>
      <w:r>
        <w:rPr>
          <w:rFonts w:hint="eastAsia"/>
          <w:b/>
          <w:color w:val="000000" w:themeColor="text1"/>
          <w:highlight w:val="none"/>
          <w:lang w:val="en-US" w:eastAsia="zh-CN"/>
        </w:rPr>
        <w:t>2</w:t>
      </w:r>
      <w:r>
        <w:rPr>
          <w:rFonts w:hint="eastAsia"/>
          <w:b/>
          <w:color w:val="000000" w:themeColor="text1"/>
          <w:highlight w:val="none"/>
        </w:rPr>
        <w:t>项，</w:t>
      </w:r>
      <w:r>
        <w:rPr>
          <w:rFonts w:hint="eastAsia" w:eastAsia="宋体"/>
          <w:b/>
          <w:color w:val="000000" w:themeColor="text1"/>
          <w:highlight w:val="none"/>
        </w:rPr>
        <w:t>观察项</w:t>
      </w:r>
      <w:r>
        <w:rPr>
          <w:rFonts w:hint="eastAsia" w:eastAsia="宋体"/>
          <w:b/>
          <w:color w:val="000000" w:themeColor="text1"/>
          <w:highlight w:val="none"/>
          <w:lang w:val="en-US" w:eastAsia="zh-CN"/>
        </w:rPr>
        <w:t>0</w:t>
      </w:r>
      <w:r>
        <w:rPr>
          <w:rFonts w:hint="eastAsia" w:eastAsia="宋体"/>
          <w:b/>
          <w:color w:val="000000" w:themeColor="text1"/>
          <w:highlight w:val="none"/>
        </w:rPr>
        <w:t>项</w:t>
      </w:r>
      <w:r>
        <w:rPr>
          <w:rFonts w:hint="eastAsia" w:eastAsia="宋体"/>
          <w:b/>
          <w:color w:val="000000" w:themeColor="text1"/>
          <w:highlight w:val="none"/>
          <w:lang w:eastAsia="zh-CN"/>
        </w:rPr>
        <w:t>，</w:t>
      </w:r>
      <w:r>
        <w:rPr>
          <w:rFonts w:hint="eastAsia" w:eastAsia="宋体"/>
          <w:b/>
          <w:color w:val="000000" w:themeColor="text1"/>
          <w:highlight w:val="none"/>
        </w:rPr>
        <w:t>分布在部门</w:t>
      </w:r>
      <w:r>
        <w:rPr>
          <w:rFonts w:hint="eastAsia" w:eastAsia="宋体"/>
          <w:b/>
          <w:color w:val="000000" w:themeColor="text1"/>
          <w:highlight w:val="none"/>
          <w:lang w:val="en-US" w:eastAsia="zh-CN"/>
        </w:rPr>
        <w:t>供销</w:t>
      </w:r>
      <w:r>
        <w:rPr>
          <w:rFonts w:hint="eastAsia" w:eastAsia="宋体"/>
          <w:b/>
          <w:color w:val="000000" w:themeColor="text1"/>
          <w:highlight w:val="none"/>
        </w:rPr>
        <w:t>部</w:t>
      </w:r>
      <w:r>
        <w:rPr>
          <w:rFonts w:hint="eastAsia" w:eastAsia="宋体"/>
          <w:b/>
          <w:color w:val="000000" w:themeColor="text1"/>
          <w:highlight w:val="none"/>
          <w:lang w:val="en-US" w:eastAsia="zh-CN"/>
        </w:rPr>
        <w:t>门</w:t>
      </w:r>
      <w:r>
        <w:rPr>
          <w:rFonts w:hint="eastAsia" w:eastAsia="宋体"/>
          <w:b/>
          <w:color w:val="000000" w:themeColor="text1"/>
          <w:highlight w:val="none"/>
        </w:rPr>
        <w:t>条款</w:t>
      </w:r>
      <w:r>
        <w:rPr>
          <w:rFonts w:hint="eastAsia" w:eastAsia="宋体"/>
          <w:b/>
          <w:color w:val="000000" w:themeColor="text1"/>
          <w:highlight w:val="none"/>
          <w:lang w:val="en-US" w:eastAsia="zh-CN"/>
        </w:rPr>
        <w:t>Q8.4.1条款和综合部门E/S8.2条款</w:t>
      </w:r>
      <w:r>
        <w:rPr>
          <w:rFonts w:hint="eastAsia" w:eastAsia="宋体"/>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color w:val="000000"/>
                <w:sz w:val="21"/>
                <w:szCs w:val="21"/>
              </w:rPr>
            </w:pPr>
            <w:r>
              <w:rPr>
                <w:rFonts w:hint="eastAsia" w:ascii="宋体" w:hAnsi="宋体"/>
                <w:sz w:val="21"/>
                <w:szCs w:val="21"/>
              </w:rPr>
              <w:t>Q</w:t>
            </w:r>
            <w:r>
              <w:rPr>
                <w:rFonts w:hint="eastAsia" w:ascii="宋体" w:hAnsi="宋体"/>
                <w:sz w:val="21"/>
                <w:szCs w:val="21"/>
                <w:lang w:val="en-US" w:eastAsia="zh-CN"/>
              </w:rPr>
              <w:t>MS</w:t>
            </w:r>
            <w:r>
              <w:rPr>
                <w:rFonts w:hint="eastAsia" w:ascii="宋体" w:hAnsi="宋体"/>
                <w:sz w:val="21"/>
                <w:szCs w:val="21"/>
              </w:rPr>
              <w:t>：水泥基灌浆、压浆材料的生产</w:t>
            </w:r>
          </w:p>
          <w:p>
            <w:pPr>
              <w:rPr>
                <w:rFonts w:hint="eastAsia" w:ascii="宋体" w:hAnsi="宋体"/>
                <w:sz w:val="21"/>
                <w:szCs w:val="21"/>
              </w:rPr>
            </w:pPr>
            <w:r>
              <w:rPr>
                <w:rFonts w:hint="eastAsia" w:ascii="宋体" w:hAnsi="宋体"/>
                <w:sz w:val="21"/>
                <w:szCs w:val="21"/>
              </w:rPr>
              <w:t>E</w:t>
            </w:r>
            <w:r>
              <w:rPr>
                <w:rFonts w:hint="eastAsia" w:ascii="宋体" w:hAnsi="宋体"/>
                <w:sz w:val="21"/>
                <w:szCs w:val="21"/>
                <w:lang w:val="en-US" w:eastAsia="zh-CN"/>
              </w:rPr>
              <w:t>MS</w:t>
            </w:r>
            <w:r>
              <w:rPr>
                <w:rFonts w:hint="eastAsia" w:ascii="宋体" w:hAnsi="宋体"/>
                <w:sz w:val="21"/>
                <w:szCs w:val="21"/>
              </w:rPr>
              <w:t>：水泥基灌浆、压浆材料的加工所涉及场所的相关环境管理活动</w:t>
            </w:r>
          </w:p>
          <w:p>
            <w:pPr>
              <w:spacing w:line="400" w:lineRule="exact"/>
              <w:jc w:val="left"/>
              <w:rPr>
                <w:b/>
                <w:color w:val="000000" w:themeColor="text1"/>
                <w:spacing w:val="-10"/>
                <w:sz w:val="22"/>
                <w:szCs w:val="22"/>
              </w:rPr>
            </w:pPr>
            <w:r>
              <w:rPr>
                <w:rFonts w:hint="eastAsia" w:ascii="宋体" w:hAnsi="宋体"/>
                <w:sz w:val="21"/>
                <w:szCs w:val="21"/>
              </w:rPr>
              <w:t>O</w:t>
            </w:r>
            <w:r>
              <w:rPr>
                <w:rFonts w:hint="eastAsia" w:ascii="宋体" w:hAnsi="宋体"/>
                <w:sz w:val="21"/>
                <w:szCs w:val="21"/>
                <w:lang w:val="en-US" w:eastAsia="zh-CN"/>
              </w:rPr>
              <w:t>HSMS</w:t>
            </w:r>
            <w:r>
              <w:rPr>
                <w:rFonts w:hint="eastAsia" w:ascii="宋体" w:hAnsi="宋体"/>
                <w:sz w:val="21"/>
                <w:szCs w:val="21"/>
              </w:rPr>
              <w:t xml:space="preserve">：水泥基灌浆、压浆材料的加工所涉及场所的相关职业健康安全管理活动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rPr>
              <w:t>□推荐认证注册(□QMS  □EMS   □OHSMS)</w:t>
            </w:r>
          </w:p>
          <w:p>
            <w:pPr>
              <w:rPr>
                <w:b/>
                <w:color w:val="000000" w:themeColor="text1"/>
              </w:rPr>
            </w:pPr>
            <w:r>
              <w:rPr>
                <w:rFonts w:hint="eastAsia"/>
                <w:b/>
                <w:color w:val="000000" w:themeColor="text1"/>
              </w:rPr>
              <w:t xml:space="preserve">■在完成纠正措施后推荐认证注册( □QMS     </w:t>
            </w:r>
            <w:r>
              <w:rPr>
                <w:rFonts w:hint="eastAsia"/>
                <w:b/>
                <w:color w:val="000000" w:themeColor="text1"/>
                <w:lang w:eastAsia="zh-CN"/>
              </w:rPr>
              <w:t>■</w:t>
            </w:r>
            <w:r>
              <w:rPr>
                <w:rFonts w:hint="eastAsia"/>
                <w:b/>
                <w:color w:val="000000" w:themeColor="text1"/>
              </w:rPr>
              <w:t>EMS   ■OHSMS)</w:t>
            </w:r>
          </w:p>
          <w:p>
            <w:pPr>
              <w:rPr>
                <w:b/>
                <w:color w:val="000000" w:themeColor="text1"/>
              </w:rPr>
            </w:pPr>
            <w:r>
              <w:rPr>
                <w:rFonts w:hint="eastAsia"/>
                <w:b/>
                <w:color w:val="000000" w:themeColor="text1"/>
              </w:rPr>
              <w:t>□推荐保持认证注册(</w:t>
            </w:r>
            <w:r>
              <w:rPr>
                <w:rFonts w:hint="eastAsia"/>
                <w:b/>
                <w:color w:val="000000" w:themeColor="text1"/>
                <w:lang w:eastAsia="zh-CN"/>
              </w:rPr>
              <w:t>□</w:t>
            </w:r>
            <w:r>
              <w:rPr>
                <w:rFonts w:hint="eastAsia"/>
                <w:b/>
                <w:color w:val="000000" w:themeColor="text1"/>
              </w:rPr>
              <w:t>QMS   □EMS   □OHSMS)，换发证书</w:t>
            </w:r>
          </w:p>
          <w:p>
            <w:pPr>
              <w:rPr>
                <w:b/>
                <w:color w:val="000000" w:themeColor="text1"/>
              </w:rPr>
            </w:pPr>
            <w:r>
              <w:rPr>
                <w:rFonts w:hint="eastAsia"/>
                <w:b/>
                <w:color w:val="000000" w:themeColor="text1"/>
              </w:rPr>
              <w:t xml:space="preserve">■(在完成纠正措施后推荐保持认证注册(■QMS  </w:t>
            </w:r>
            <w:r>
              <w:rPr>
                <w:rFonts w:hint="eastAsia"/>
                <w:b/>
                <w:color w:val="000000" w:themeColor="text1"/>
                <w:lang w:eastAsia="zh-CN"/>
              </w:rPr>
              <w:t>□</w:t>
            </w:r>
            <w:r>
              <w:rPr>
                <w:rFonts w:hint="eastAsia"/>
                <w:b/>
                <w:color w:val="000000" w:themeColor="text1"/>
              </w:rPr>
              <w:t xml:space="preserve">EMS  </w:t>
            </w:r>
            <w:r>
              <w:rPr>
                <w:rFonts w:hint="eastAsia"/>
                <w:b/>
                <w:color w:val="000000" w:themeColor="text1"/>
                <w:lang w:eastAsia="zh-CN"/>
              </w:rPr>
              <w:t>□</w:t>
            </w:r>
            <w:r>
              <w:rPr>
                <w:rFonts w:hint="eastAsia"/>
                <w:b/>
                <w:color w:val="000000" w:themeColor="text1"/>
              </w:rPr>
              <w:t>OHSMS)</w:t>
            </w:r>
          </w:p>
          <w:p>
            <w:pPr>
              <w:rPr>
                <w:b/>
                <w:color w:val="000000" w:themeColor="text1"/>
              </w:rPr>
            </w:pPr>
            <w:r>
              <w:rPr>
                <w:rFonts w:hint="eastAsia"/>
                <w:b/>
                <w:color w:val="000000" w:themeColor="text1"/>
              </w:rPr>
              <w:t>□推荐扩大范围(□QMS  □EMS   □OHSMS)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w:t>
      </w:r>
      <w:r>
        <w:rPr>
          <w:rFonts w:hint="eastAsia"/>
          <w:b/>
          <w:color w:val="000000" w:themeColor="text1"/>
          <w:lang w:val="en-US" w:eastAsia="zh-CN"/>
        </w:rPr>
        <w:t>天</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1512570</wp:posOffset>
            </wp:positionH>
            <wp:positionV relativeFrom="paragraph">
              <wp:posOffset>340995</wp:posOffset>
            </wp:positionV>
            <wp:extent cx="757555" cy="419735"/>
            <wp:effectExtent l="0" t="0" r="4445" b="6985"/>
            <wp:wrapNone/>
            <wp:docPr id="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2886075</wp:posOffset>
            </wp:positionH>
            <wp:positionV relativeFrom="paragraph">
              <wp:posOffset>198120</wp:posOffset>
            </wp:positionV>
            <wp:extent cx="603885" cy="300990"/>
            <wp:effectExtent l="0" t="0" r="5715" b="3810"/>
            <wp:wrapNone/>
            <wp:docPr id="5"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d23edb0d814701504dd7deb97d797b"/>
                    <pic:cNvPicPr>
                      <a:picLocks noChangeAspect="1"/>
                    </pic:cNvPicPr>
                  </pic:nvPicPr>
                  <pic:blipFill>
                    <a:blip r:embed="rId7"/>
                    <a:srcRect l="10378" t="24118" r="4335" b="17352"/>
                    <a:stretch>
                      <a:fillRect/>
                    </a:stretch>
                  </pic:blipFill>
                  <pic:spPr>
                    <a:xfrm>
                      <a:off x="0" y="0"/>
                      <a:ext cx="603885" cy="300990"/>
                    </a:xfrm>
                    <a:prstGeom prst="rect">
                      <a:avLst/>
                    </a:prstGeom>
                    <a:noFill/>
                    <a:ln>
                      <a:noFill/>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2265680</wp:posOffset>
            </wp:positionH>
            <wp:positionV relativeFrom="paragraph">
              <wp:posOffset>125730</wp:posOffset>
            </wp:positionV>
            <wp:extent cx="514350" cy="389255"/>
            <wp:effectExtent l="0" t="0" r="3810" b="698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8"/>
                    <a:stretch>
                      <a:fillRect/>
                    </a:stretch>
                  </pic:blipFill>
                  <pic:spPr>
                    <a:xfrm>
                      <a:off x="0" y="0"/>
                      <a:ext cx="514350" cy="389255"/>
                    </a:xfrm>
                    <a:prstGeom prst="rect">
                      <a:avLst/>
                    </a:prstGeom>
                    <a:noFill/>
                    <a:ln>
                      <a:noFill/>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1590675</wp:posOffset>
            </wp:positionH>
            <wp:positionV relativeFrom="paragraph">
              <wp:posOffset>129540</wp:posOffset>
            </wp:positionV>
            <wp:extent cx="408940" cy="423545"/>
            <wp:effectExtent l="0" t="0" r="2540" b="3175"/>
            <wp:wrapNone/>
            <wp:docPr id="4" name="图片 8"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Users\Administrator\Desktop\新文档 2019-09-04 21.08.47.jpg"/>
                    <pic:cNvPicPr>
                      <a:picLocks noChangeAspect="1"/>
                    </pic:cNvPicPr>
                  </pic:nvPicPr>
                  <pic:blipFill>
                    <a:blip r:embed="rId9"/>
                    <a:stretch>
                      <a:fillRect/>
                    </a:stretch>
                  </pic:blipFill>
                  <pic:spPr>
                    <a:xfrm>
                      <a:off x="0" y="0"/>
                      <a:ext cx="408940" cy="423545"/>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rPr>
        <w:t>202</w:t>
      </w:r>
      <w:r>
        <w:rPr>
          <w:rFonts w:hint="eastAsia"/>
          <w:b/>
          <w:color w:val="000000" w:themeColor="text1"/>
          <w:lang w:val="en-US" w:eastAsia="zh-CN"/>
        </w:rPr>
        <w:t>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highlight w:val="none"/>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napToGrid w:val="0"/>
        <w:spacing w:beforeLines="50" w:afterLines="50" w:line="360" w:lineRule="auto"/>
        <w:ind w:leftChars="-202" w:hanging="424" w:hangingChars="201"/>
        <w:rPr>
          <w:rFonts w:hint="eastAsia"/>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t>推荐注册</w:t>
      </w:r>
      <w:r>
        <w:rPr>
          <w:rFonts w:hint="eastAsia"/>
          <w:b/>
          <w:color w:val="000000" w:themeColor="text1"/>
          <w:szCs w:val="21"/>
          <w:lang w:eastAsia="zh-CN"/>
        </w:rPr>
        <w:t>（</w:t>
      </w:r>
      <w:r>
        <w:rPr>
          <w:rFonts w:hint="eastAsia"/>
          <w:b/>
          <w:color w:val="000000" w:themeColor="text1"/>
        </w:rPr>
        <w:t>■OHSMS</w:t>
      </w:r>
      <w:r>
        <w:rPr>
          <w:rFonts w:hint="eastAsia"/>
          <w:b/>
          <w:color w:val="000000" w:themeColor="text1"/>
          <w:lang w:val="en-US" w:eastAsia="zh-CN"/>
        </w:rPr>
        <w:t xml:space="preserve"> </w:t>
      </w:r>
      <w:r>
        <w:rPr>
          <w:rFonts w:hint="eastAsia"/>
          <w:b/>
          <w:color w:val="000000" w:themeColor="text1"/>
        </w:rPr>
        <w:t>■EMS</w:t>
      </w:r>
      <w:r>
        <w:rPr>
          <w:rFonts w:hint="eastAsia"/>
          <w:b/>
          <w:color w:val="000000" w:themeColor="text1"/>
          <w:lang w:eastAsia="zh-CN"/>
        </w:rPr>
        <w:t>），</w:t>
      </w:r>
      <w:r>
        <w:rPr>
          <w:rFonts w:hint="eastAsia"/>
          <w:b/>
          <w:color w:val="000000" w:themeColor="text1"/>
        </w:rPr>
        <w:t>保持认证注册(■QMS</w:t>
      </w:r>
      <w:r>
        <w:rPr>
          <w:rFonts w:hint="eastAsia"/>
          <w:b/>
          <w:color w:val="000000" w:themeColor="text1"/>
          <w:lang w:eastAsia="zh-CN"/>
        </w:rPr>
        <w:t>）</w:t>
      </w:r>
      <w:r>
        <w:rPr>
          <w:rFonts w:hint="eastAsia"/>
          <w:b/>
          <w:color w:val="000000" w:themeColor="text1"/>
        </w:rPr>
        <w:t xml:space="preserve">  </w:t>
      </w:r>
      <w:r>
        <w:rPr>
          <w:rFonts w:hint="eastAsia"/>
          <w:b/>
          <w:color w:val="000000" w:themeColor="text1"/>
          <w:szCs w:val="21"/>
          <w:lang w:eastAsia="zh-CN"/>
        </w:rPr>
        <w:t>□</w:t>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7456" behindDoc="0" locked="0" layoutInCell="1" allowOverlap="1">
            <wp:simplePos x="0" y="0"/>
            <wp:positionH relativeFrom="column">
              <wp:posOffset>720090</wp:posOffset>
            </wp:positionH>
            <wp:positionV relativeFrom="paragraph">
              <wp:posOffset>106680</wp:posOffset>
            </wp:positionV>
            <wp:extent cx="757555" cy="419735"/>
            <wp:effectExtent l="0" t="0" r="4445" b="6985"/>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themeColor="text1"/>
          <w:szCs w:val="21"/>
        </w:rPr>
        <w:t xml:space="preserve">组长签字:                    </w:t>
      </w:r>
      <w:bookmarkStart w:id="22" w:name="_GoBack"/>
      <w:bookmarkEnd w:id="22"/>
      <w:r>
        <w:rPr>
          <w:rFonts w:hint="eastAsia"/>
          <w:b/>
          <w:color w:val="000000" w:themeColor="text1"/>
          <w:szCs w:val="21"/>
        </w:rPr>
        <w:t xml:space="preserve">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日期：    </w:t>
      </w:r>
      <w:r>
        <w:rPr>
          <w:rFonts w:hint="eastAsia"/>
          <w:b/>
          <w:color w:val="000000" w:themeColor="text1"/>
          <w:lang w:val="en-US" w:eastAsia="zh-CN"/>
        </w:rPr>
        <w:t xml:space="preserve">  </w:t>
      </w:r>
      <w:r>
        <w:rPr>
          <w:rFonts w:hint="eastAsia"/>
          <w:b/>
          <w:color w:val="000000" w:themeColor="text1"/>
        </w:rPr>
        <w:t xml:space="preserve">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w:t>
      </w:r>
      <w:r>
        <w:rPr>
          <w:rFonts w:hint="eastAsia"/>
          <w:b/>
          <w:color w:val="000000" w:themeColor="text1"/>
          <w:lang w:val="en-US" w:eastAsia="zh-CN"/>
        </w:rPr>
        <w:t xml:space="preserve">  </w:t>
      </w:r>
      <w:r>
        <w:rPr>
          <w:rFonts w:hint="eastAsia"/>
          <w:b/>
          <w:color w:val="000000" w:themeColor="text1"/>
        </w:rPr>
        <w:t xml:space="preserve">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93252"/>
    <w:rsid w:val="09FC5318"/>
    <w:rsid w:val="486376F3"/>
    <w:rsid w:val="5B695C36"/>
    <w:rsid w:val="608416FA"/>
    <w:rsid w:val="60AC3C2D"/>
    <w:rsid w:val="64215113"/>
    <w:rsid w:val="6B7F1590"/>
    <w:rsid w:val="6BE02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2021-04-15T06:34:42Z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23E83EC5A8C24A379DD17281CE18E0F8</vt:lpwstr>
  </property>
</Properties>
</file>