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83"/>
        <w:gridCol w:w="1170"/>
        <w:gridCol w:w="6"/>
        <w:gridCol w:w="567"/>
        <w:gridCol w:w="1242"/>
        <w:gridCol w:w="75"/>
        <w:gridCol w:w="101"/>
        <w:gridCol w:w="589"/>
        <w:gridCol w:w="261"/>
        <w:gridCol w:w="30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协宝（重庆）建材股份有限公司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重庆市江津区白沙工业园D-26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蔡春鹏</w:t>
            </w:r>
            <w:bookmarkEnd w:id="2"/>
          </w:p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18523978888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7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林亚聪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0055-2019-Q-2021</w:t>
            </w:r>
            <w:bookmarkEnd w:id="8"/>
          </w:p>
        </w:tc>
        <w:tc>
          <w:tcPr>
            <w:tcW w:w="11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质量管理体系：第（2）次监督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Q：水泥基灌浆、压浆材料的生产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E：水泥基灌浆、压浆材料的加工所涉及场所的相关环境管理活动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O：水泥基灌浆、压浆材料的加工所涉及场所的相关职业健康安全管理活动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2021年04月15日 上午至2021年04月15日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O:16.02.04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2021年4月14日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2021年4月14日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法律法规执行情况，重大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事故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职业健康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安全投诉，一阶段问题验证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</w:rPr>
              <w:t>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7.1.4过程运行环境；7.1.5监视和测量设备；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cs="新宋体"/>
                <w:sz w:val="21"/>
                <w:szCs w:val="21"/>
              </w:rPr>
              <w:t>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94B00"/>
    <w:rsid w:val="114B5278"/>
    <w:rsid w:val="24DA2762"/>
    <w:rsid w:val="53D41764"/>
    <w:rsid w:val="59222546"/>
    <w:rsid w:val="5BA579C6"/>
    <w:rsid w:val="7A7C5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2021-04-13T02:41:28Z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CD43510C60EF44F180406A597FACF882</vt:lpwstr>
  </property>
</Properties>
</file>