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协宝（重庆）建材股份有限公司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0300-2021-EO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91500227673381258Y</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提供有：年产2.2万吨压浆料、灌浆料生产及销售项目竣工环境影响评价文件批准书，渝（津）环准（2019）033号</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r>
              <w:rPr>
                <w:rFonts w:hint="eastAsia"/>
                <w:color w:val="000000"/>
                <w:szCs w:val="21"/>
                <w:lang w:val="en-US" w:eastAsia="zh-CN"/>
              </w:rPr>
              <w:t>提供有：年产2.2万吨压浆料、灌浆料生产及销售项目竣工环境保护验收批复，渝（津）环验（2020）032号</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3919220</wp:posOffset>
                  </wp:positionH>
                  <wp:positionV relativeFrom="paragraph">
                    <wp:posOffset>12700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2021.4.11</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AC6B6D"/>
    <w:rsid w:val="203B2B25"/>
    <w:rsid w:val="2FAC6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2021-04-11T14:31:22Z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156E2BB00C5745A6B4AEC258F2CF120B</vt:lpwstr>
  </property>
</Properties>
</file>