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重庆双春有色金属熔铸助剂厂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薛玉龙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widowControl/>
              <w:spacing w:line="400" w:lineRule="exact"/>
              <w:ind w:firstLine="211" w:firstLineChars="100"/>
              <w:rPr>
                <w:rFonts w:hint="default" w:ascii="宋体" w:hAnsi="宋体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公司将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化学成分分析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委托给上海微谱化工技术服务有限公司进行，查公司对该检测合作方的评价资料，未能提供。不符合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</w:rPr>
              <w:t>条款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组织应基于外部供方按照提供过程、产品和服务的能力，确定并实施对外部供方的评价，选择，绩效监视以及再评价的准则。对于这些活动和由评价引发的任何必要的措施，组织应保留成文信息”的要求。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83185</wp:posOffset>
                  </wp:positionV>
                  <wp:extent cx="531495" cy="401955"/>
                  <wp:effectExtent l="0" t="0" r="1905" b="9525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81280</wp:posOffset>
                  </wp:positionV>
                  <wp:extent cx="635635" cy="398145"/>
                  <wp:effectExtent l="0" t="0" r="4445" b="1333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2021年04月12日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2021年04月12日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color w:val="000000"/>
                <w:szCs w:val="21"/>
              </w:rPr>
              <w:t>2021年04月12日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8057B"/>
    <w:rsid w:val="1A260215"/>
    <w:rsid w:val="41C55FA2"/>
    <w:rsid w:val="459A3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2021-04-12T04:20:28Z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C3FABBE53F114EBFB89F05296C27D063</vt:lpwstr>
  </property>
</Properties>
</file>