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023"/>
        <w:gridCol w:w="1772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rFonts w:hint="eastAsia"/>
                <w:b/>
                <w:sz w:val="22"/>
                <w:szCs w:val="22"/>
              </w:rPr>
              <w:t>重庆双春有色金属熔铸助剂厂</w:t>
            </w:r>
            <w:bookmarkEnd w:id="3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rFonts w:hint="eastAsia"/>
                <w:b/>
                <w:szCs w:val="21"/>
              </w:rPr>
              <w:t>12.05.04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72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2"/>
                <w:szCs w:val="22"/>
              </w:rPr>
            </w:pPr>
            <w:bookmarkStart w:id="5" w:name="审核范围"/>
            <w:r>
              <w:rPr>
                <w:rFonts w:hint="eastAsia"/>
                <w:b/>
                <w:sz w:val="22"/>
                <w:szCs w:val="22"/>
              </w:rPr>
              <w:t>有色金属熔铸助剂的生产</w:t>
            </w:r>
            <w:bookmarkEnd w:id="5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原材检验——烘烤——配料——搅拌——检验——包装入库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配料、搅拌为关键过程，无特殊过程。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根据《配料单》采用称重的方式控制配料重量、比例，根据《作业指导书》通过控制混合搅拌的时间来达到搅拌效果。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YS-T491-2005《变形铝及铝合金用熔剂》、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GB/T14506.10-2010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硅酸盐石化学分析方法第10部分；氯化锰量测定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》等标准及客户要求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default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eastAsia="zh-CN"/>
              </w:rPr>
              <w:t>出厂检验项目包括重量、外观、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含水量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等。提供委外性能检验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报告，对其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产品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化学成分分析</w:t>
            </w:r>
          </w:p>
          <w:p>
            <w:pPr>
              <w:widowControl/>
              <w:spacing w:line="40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进行检验。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80645</wp:posOffset>
            </wp:positionV>
            <wp:extent cx="596265" cy="373380"/>
            <wp:effectExtent l="0" t="0" r="13335" b="7620"/>
            <wp:wrapNone/>
            <wp:docPr id="3" name="图片 3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74295</wp:posOffset>
            </wp:positionV>
            <wp:extent cx="583565" cy="365125"/>
            <wp:effectExtent l="0" t="0" r="10795" b="635"/>
            <wp:wrapNone/>
            <wp:docPr id="2" name="图片 2" descr="C:\Users\Administrator\Desktop\新文档 2020-01-09 10.59.5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新文档 2020-01-09 10.59.53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36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 w:val="21"/>
          <w:szCs w:val="21"/>
        </w:rPr>
        <w:t>2021年04月12日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021年04月12日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DB622C"/>
    <w:rsid w:val="6FC26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2021-04-12T05:28:22Z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4E3367BBE89F42D6A66959A8BD371021</vt:lpwstr>
  </property>
</Properties>
</file>