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昭通亮风台信息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E5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04-29T08:5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87A7FF4D04E4D94B6D7850465C0D5E2</vt:lpwstr>
  </property>
</Properties>
</file>