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w:t>
      </w:r>
      <w:r>
        <w:rPr>
          <w:rFonts w:hint="eastAsia" w:ascii="楷体" w:hAnsi="楷体" w:eastAsia="楷体" w:cs="Times New Roman"/>
          <w:b/>
          <w:color w:val="000000"/>
          <w:sz w:val="32"/>
          <w:szCs w:val="32"/>
        </w:rPr>
        <w:t>核方：</w:t>
      </w:r>
      <w:bookmarkStart w:id="0" w:name="组织名称"/>
      <w:r>
        <w:rPr>
          <w:rFonts w:hint="eastAsia" w:ascii="楷体" w:hAnsi="楷体" w:eastAsia="楷体" w:cs="Times New Roman"/>
          <w:b/>
          <w:color w:val="000000"/>
          <w:sz w:val="32"/>
          <w:szCs w:val="32"/>
        </w:rPr>
        <w:t>昭通亮风台信息科技有限公司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Q:33.02.01</w:t>
            </w:r>
          </w:p>
          <w:p>
            <w:pPr>
              <w:jc w:val="center"/>
              <w:rPr>
                <w:b/>
                <w:sz w:val="21"/>
                <w:szCs w:val="21"/>
              </w:rPr>
            </w:pPr>
            <w:r>
              <w:rPr>
                <w:b/>
                <w:sz w:val="21"/>
                <w:szCs w:val="21"/>
              </w:rPr>
              <w:t>E:33.02.01</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w:t>
      </w:r>
      <w:r>
        <w:rPr>
          <w:rFonts w:hint="eastAsia"/>
          <w:b/>
          <w:sz w:val="21"/>
          <w:szCs w:val="21"/>
          <w:lang w:val="en-US" w:eastAsia="zh-CN"/>
        </w:rPr>
        <w:t>监督1</w:t>
      </w:r>
      <w:r>
        <w:rPr>
          <w:rFonts w:hint="eastAsia"/>
          <w:b/>
          <w:sz w:val="21"/>
          <w:szCs w:val="21"/>
        </w:rPr>
        <w:t>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昭通亮风台信息科技有限公司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云南省昭通市鲁甸县茨院乡板板房村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657000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昭通市昭阳区鲁甸路御峰云府13栋2楼</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657000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昭通市昭阳区鲁甸路御峰云府13栋2楼</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657000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代懿航</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0870-2231999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王迅</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王讯</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王讯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2021年05月06日 上午至2021年05月07日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r>
              <w:rPr>
                <w:sz w:val="20"/>
              </w:rPr>
              <w:t>软件开发（人工智能整体解决方案提供）</w:t>
            </w:r>
          </w:p>
          <w:bookmarkEnd w:id="24"/>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软件开发（人工智能整体解决方案提供）所涉及的相关环境管理活动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Q：33.02.01</w:t>
            </w:r>
          </w:p>
          <w:p>
            <w:pPr>
              <w:spacing w:line="260" w:lineRule="exact"/>
              <w:rPr>
                <w:rFonts w:ascii="宋体" w:hAnsi="宋体"/>
                <w:b/>
                <w:sz w:val="21"/>
                <w:szCs w:val="21"/>
              </w:rPr>
            </w:pPr>
            <w:r>
              <w:rPr>
                <w:rFonts w:ascii="宋体" w:hAnsi="宋体"/>
                <w:b/>
                <w:sz w:val="21"/>
                <w:szCs w:val="21"/>
              </w:rPr>
              <w:t>E：33.02.01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b/>
                <w:sz w:val="21"/>
                <w:szCs w:val="21"/>
                <w:lang w:val="en-US" w:eastAsia="zh-CN"/>
              </w:rPr>
            </w:pPr>
            <w:r>
              <w:rPr>
                <w:rFonts w:hint="eastAsia" w:ascii="宋体" w:hAnsi="宋体"/>
                <w:b/>
                <w:sz w:val="21"/>
                <w:szCs w:val="21"/>
                <w:lang w:val="en-US" w:eastAsia="zh-CN"/>
              </w:rPr>
              <w:t>2023-05-12</w:t>
            </w:r>
          </w:p>
        </w:tc>
        <w:tc>
          <w:tcPr>
            <w:tcW w:w="1672" w:type="dxa"/>
            <w:vAlign w:val="center"/>
          </w:tcPr>
          <w:p>
            <w:pPr>
              <w:spacing w:line="260" w:lineRule="exact"/>
              <w:rPr>
                <w:rFonts w:ascii="宋体" w:hAnsi="宋体"/>
                <w:b/>
                <w:sz w:val="21"/>
                <w:szCs w:val="21"/>
              </w:rPr>
            </w:pPr>
            <w:r>
              <w:rPr>
                <w:rFonts w:hint="eastAsia" w:ascii="宋体" w:hAnsi="宋体"/>
                <w:b/>
                <w:sz w:val="21"/>
                <w:szCs w:val="21"/>
              </w:rPr>
              <w:t>上年度</w:t>
            </w:r>
          </w:p>
          <w:p>
            <w:pPr>
              <w:spacing w:line="260" w:lineRule="exact"/>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hint="eastAsia" w:ascii="宋体" w:hAnsi="宋体"/>
                <w:b/>
                <w:sz w:val="21"/>
                <w:szCs w:val="21"/>
                <w:lang w:val="en-US" w:eastAsia="zh-CN"/>
              </w:rPr>
              <w:t>2020年04月30日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b/>
          <w:sz w:val="21"/>
          <w:szCs w:val="21"/>
          <w:lang w:val="en-US"/>
        </w:rPr>
      </w:pPr>
      <w:r>
        <w:rPr>
          <w:rFonts w:ascii="宋体" w:hAnsi="宋体"/>
          <w:b/>
          <w:sz w:val="21"/>
          <w:szCs w:val="21"/>
        </w:rPr>
        <w:t xml:space="preserve">4. </w:t>
      </w:r>
      <w:r>
        <w:rPr>
          <w:rFonts w:hint="eastAsia" w:ascii="宋体" w:hAnsi="宋体"/>
          <w:b/>
          <w:sz w:val="21"/>
          <w:szCs w:val="21"/>
        </w:rPr>
        <w:t>本次审核覆盖时间：从</w:t>
      </w:r>
      <w:r>
        <w:rPr>
          <w:rFonts w:hint="eastAsia" w:ascii="宋体" w:hAnsi="宋体" w:cs="Times New Roman"/>
          <w:b/>
          <w:sz w:val="21"/>
          <w:szCs w:val="21"/>
        </w:rPr>
        <w:t>上次审核结束日的</w:t>
      </w:r>
      <w:r>
        <w:rPr>
          <w:rFonts w:hint="eastAsia" w:ascii="宋体" w:hAnsi="宋体" w:cs="Times New Roman"/>
          <w:b/>
          <w:sz w:val="21"/>
          <w:szCs w:val="21"/>
          <w:lang w:val="en-US" w:eastAsia="zh-CN"/>
        </w:rPr>
        <w:t>2020年04月30日至2021年05月07日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b/>
                <w:color w:val="000000" w:themeColor="text1"/>
                <w:sz w:val="20"/>
                <w:szCs w:val="20"/>
              </w:rPr>
            </w:pPr>
            <w:r>
              <w:rPr>
                <w:rFonts w:hint="eastAsia" w:ascii="Times New Roman" w:hAnsi="Times New Roman" w:cs="Times New Roman"/>
                <w:sz w:val="20"/>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b/>
                <w:color w:val="000000" w:themeColor="text1"/>
                <w:sz w:val="20"/>
                <w:szCs w:val="20"/>
              </w:rPr>
            </w:pPr>
            <w:r>
              <w:rPr>
                <w:rFonts w:hint="eastAsia" w:ascii="Times New Roman" w:hAnsi="Times New Roman" w:cs="Times New Roman"/>
                <w:sz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00" w:firstLineChars="200"/>
              <w:rPr>
                <w:rFonts w:hint="eastAsia" w:ascii="Times New Roman" w:hAnsi="Times New Roman" w:cs="Times New Roman"/>
                <w:sz w:val="20"/>
              </w:rPr>
            </w:pPr>
            <w:r>
              <w:rPr>
                <w:rFonts w:hint="eastAsia" w:ascii="Times New Roman" w:hAnsi="Times New Roman" w:cs="Times New Roman"/>
                <w:sz w:val="20"/>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firstLine="400" w:firstLineChars="200"/>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管理方针：</w:t>
            </w:r>
          </w:p>
          <w:p>
            <w:pPr>
              <w:spacing w:line="400" w:lineRule="exact"/>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以稳定品质、完善服务、持续改进、满足顾客需求；</w:t>
            </w:r>
          </w:p>
          <w:p>
            <w:pPr>
              <w:spacing w:line="360" w:lineRule="auto"/>
              <w:ind w:firstLine="420" w:firstLineChars="200"/>
              <w:jc w:val="left"/>
              <w:rPr>
                <w:b/>
                <w:color w:val="000000" w:themeColor="text1"/>
              </w:rPr>
            </w:pPr>
            <w:r>
              <w:rPr>
                <w:rFonts w:hint="eastAsia" w:ascii="Times New Roman" w:hAnsi="Times New Roman" w:cs="Times New Roman"/>
                <w:color w:val="auto"/>
                <w:sz w:val="21"/>
                <w:szCs w:val="21"/>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00" w:firstLineChars="100"/>
              <w:rPr>
                <w:rFonts w:ascii="宋体" w:hAnsi="宋体"/>
                <w:color w:val="000000" w:themeColor="text1"/>
              </w:rPr>
            </w:pPr>
            <w:r>
              <w:rPr>
                <w:rFonts w:hint="eastAsia" w:ascii="Times New Roman" w:hAnsi="Times New Roman" w:cs="Times New Roman"/>
                <w:sz w:val="20"/>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sz w:val="20"/>
              </w:rPr>
              <w:t>软件开发（人工智能整体解决方案提供）</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其中关键过程有： </w:t>
            </w:r>
            <w:r>
              <w:rPr>
                <w:rFonts w:hint="eastAsia" w:ascii="Times New Roman" w:hAnsi="Times New Roman" w:cs="Times New Roman"/>
                <w:sz w:val="20"/>
                <w:lang w:val="en-US" w:eastAsia="zh-CN"/>
              </w:rPr>
              <w:t>研发</w:t>
            </w:r>
            <w:r>
              <w:rPr>
                <w:rFonts w:hint="eastAsia" w:ascii="Times New Roman" w:hAnsi="Times New Roman" w:cs="Times New Roman"/>
                <w:sz w:val="20"/>
              </w:rPr>
              <w:t xml:space="preserve">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Times New Roman" w:hAnsi="Times New Roman" w:cs="Times New Roman"/>
                <w:sz w:val="20"/>
                <w:lang w:val="en-US" w:eastAsia="zh-CN"/>
              </w:rPr>
              <w:t>研发</w:t>
            </w:r>
            <w:r>
              <w:rPr>
                <w:rFonts w:hint="eastAsia" w:ascii="Times New Roman" w:hAnsi="Times New Roman" w:cs="Times New Roman"/>
                <w:sz w:val="20"/>
              </w:rPr>
              <w:t xml:space="preserve">过程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0" w:firstLineChars="150"/>
              <w:rPr>
                <w:rFonts w:asciiTheme="minorEastAsia" w:hAnsiTheme="minorEastAsia" w:eastAsiaTheme="minorEastAsia"/>
                <w:b/>
                <w:color w:val="000000" w:themeColor="text1"/>
                <w:sz w:val="20"/>
                <w:szCs w:val="20"/>
              </w:rPr>
            </w:pPr>
            <w:r>
              <w:rPr>
                <w:rFonts w:hint="eastAsia" w:ascii="Times New Roman" w:hAnsi="Times New Roman" w:cs="Times New Roman"/>
                <w:sz w:val="20"/>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6"/>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6"/>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6"/>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6"/>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ind w:firstLine="400" w:firstLineChars="200"/>
              <w:rPr>
                <w:rFonts w:hint="eastAsia" w:ascii="Times New Roman" w:hAnsi="Times New Roman" w:cs="Times New Roman"/>
                <w:sz w:val="20"/>
              </w:rPr>
            </w:pPr>
            <w:r>
              <w:rPr>
                <w:rFonts w:hint="eastAsia" w:ascii="Times New Roman" w:hAnsi="Times New Roman" w:cs="Times New Roman"/>
                <w:sz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ind w:firstLine="400" w:firstLineChars="200"/>
              <w:rPr>
                <w:rFonts w:hint="eastAsia" w:ascii="Times New Roman" w:hAnsi="Times New Roman" w:eastAsia="宋体" w:cs="Times New Roman"/>
                <w:sz w:val="20"/>
              </w:rPr>
            </w:pPr>
            <w:r>
              <w:rPr>
                <w:rFonts w:hint="eastAsia" w:ascii="Times New Roman" w:hAnsi="Times New Roman" w:eastAsia="宋体" w:cs="Times New Roman"/>
                <w:sz w:val="20"/>
              </w:rPr>
              <w:t>公司质量环境目标为：</w:t>
            </w:r>
          </w:p>
          <w:p>
            <w:pPr>
              <w:spacing w:line="240" w:lineRule="exact"/>
              <w:ind w:firstLine="400" w:firstLineChars="200"/>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1）、</w:t>
            </w:r>
            <w:r>
              <w:rPr>
                <w:rFonts w:hint="eastAsia" w:ascii="Times New Roman" w:hAnsi="Times New Roman" w:eastAsia="宋体" w:cs="Times New Roman"/>
                <w:sz w:val="20"/>
              </w:rPr>
              <w:t>产品研发合格率100%</w:t>
            </w:r>
            <w:r>
              <w:rPr>
                <w:rFonts w:hint="eastAsia" w:ascii="Times New Roman" w:hAnsi="Times New Roman" w:eastAsia="宋体" w:cs="Times New Roman"/>
                <w:sz w:val="20"/>
                <w:lang w:eastAsia="zh-CN"/>
              </w:rPr>
              <w:t>；</w:t>
            </w:r>
          </w:p>
          <w:p>
            <w:pPr>
              <w:spacing w:line="240" w:lineRule="exact"/>
              <w:ind w:firstLine="400" w:firstLineChars="200"/>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2）、</w:t>
            </w:r>
            <w:r>
              <w:rPr>
                <w:rFonts w:hint="eastAsia" w:ascii="Times New Roman" w:hAnsi="Times New Roman" w:eastAsia="宋体" w:cs="Times New Roman"/>
                <w:sz w:val="20"/>
              </w:rPr>
              <w:t>客户满意度≥90分</w:t>
            </w:r>
            <w:r>
              <w:rPr>
                <w:rFonts w:hint="eastAsia" w:ascii="Times New Roman" w:hAnsi="Times New Roman" w:eastAsia="宋体" w:cs="Times New Roman"/>
                <w:sz w:val="20"/>
                <w:lang w:eastAsia="zh-CN"/>
              </w:rPr>
              <w:t>；</w:t>
            </w:r>
          </w:p>
          <w:p>
            <w:pPr>
              <w:spacing w:line="240" w:lineRule="exact"/>
              <w:ind w:firstLine="400" w:firstLineChars="200"/>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3）、</w:t>
            </w:r>
            <w:r>
              <w:rPr>
                <w:rFonts w:hint="eastAsia" w:ascii="Times New Roman" w:hAnsi="Times New Roman" w:eastAsia="宋体" w:cs="Times New Roman"/>
                <w:sz w:val="20"/>
              </w:rPr>
              <w:t>对固体废弃物100%处理</w:t>
            </w:r>
            <w:r>
              <w:rPr>
                <w:rFonts w:hint="eastAsia" w:ascii="Times New Roman" w:hAnsi="Times New Roman" w:eastAsia="宋体" w:cs="Times New Roman"/>
                <w:sz w:val="20"/>
                <w:lang w:eastAsia="zh-CN"/>
              </w:rPr>
              <w:t>；</w:t>
            </w:r>
          </w:p>
          <w:p>
            <w:pPr>
              <w:spacing w:line="240" w:lineRule="exact"/>
              <w:ind w:firstLine="400" w:firstLineChars="200"/>
              <w:rPr>
                <w:rFonts w:ascii="宋体" w:hAnsi="宋体"/>
                <w:b/>
                <w:color w:val="000000" w:themeColor="text1"/>
              </w:rPr>
            </w:pPr>
            <w:r>
              <w:rPr>
                <w:rFonts w:hint="eastAsia" w:ascii="Times New Roman" w:hAnsi="Times New Roman" w:eastAsia="宋体" w:cs="Times New Roman"/>
                <w:sz w:val="20"/>
                <w:lang w:val="en-US" w:eastAsia="zh-CN"/>
              </w:rPr>
              <w:t>4）、</w:t>
            </w:r>
            <w:r>
              <w:rPr>
                <w:rFonts w:hint="eastAsia" w:ascii="Times New Roman" w:hAnsi="Times New Roman" w:eastAsia="宋体" w:cs="Times New Roman"/>
                <w:sz w:val="20"/>
              </w:rPr>
              <w:t>火灾事故发生率为0</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Times New Roman" w:hAnsi="Times New Roman" w:cs="Times New Roman"/>
                <w:sz w:val="20"/>
              </w:rPr>
              <w:t>公司按照申请认证的标准要求，建立并形成了文件化的</w:t>
            </w:r>
            <w:r>
              <w:rPr>
                <w:rFonts w:hint="eastAsia" w:ascii="Times New Roman" w:hAnsi="Times New Roman" w:cs="Times New Roman"/>
                <w:sz w:val="20"/>
                <w:lang w:val="en-US" w:eastAsia="zh-CN"/>
              </w:rPr>
              <w:t>质量、</w:t>
            </w:r>
            <w:r>
              <w:rPr>
                <w:rFonts w:hint="eastAsia" w:ascii="Times New Roman" w:hAnsi="Times New Roman" w:cs="Times New Roman"/>
                <w:sz w:val="20"/>
              </w:rPr>
              <w:t>环境管理体系，体系文件对管理体系各过程进行了识别确定、明确了各要素间的相互关系及其管控要求。公司体系文件于</w:t>
            </w:r>
            <w:r>
              <w:rPr>
                <w:rFonts w:hint="eastAsia" w:ascii="Times New Roman" w:hAnsi="Times New Roman" w:cs="Times New Roman"/>
                <w:sz w:val="20"/>
                <w:lang w:val="en-US" w:eastAsia="zh-CN"/>
              </w:rPr>
              <w:t>2020年12月1日进行了更新改版并</w:t>
            </w:r>
            <w:r>
              <w:rPr>
                <w:rFonts w:hint="eastAsia" w:ascii="Times New Roman" w:hAnsi="Times New Roman" w:cs="Times New Roman"/>
                <w:sz w:val="20"/>
              </w:rPr>
              <w:t>有效实施运行，</w:t>
            </w:r>
            <w:r>
              <w:rPr>
                <w:rFonts w:hint="eastAsia" w:ascii="Times New Roman" w:hAnsi="Times New Roman" w:cs="Times New Roman"/>
                <w:sz w:val="20"/>
                <w:lang w:val="en-US" w:eastAsia="zh-CN"/>
              </w:rPr>
              <w:t>从新改版后的文件对公司的部门设置及职能进行了划定，</w:t>
            </w:r>
            <w:r>
              <w:rPr>
                <w:rFonts w:hint="eastAsia" w:ascii="Times New Roman" w:hAnsi="Times New Roman" w:cs="Times New Roman"/>
                <w:sz w:val="20"/>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400" w:firstLineChars="200"/>
              <w:rPr>
                <w:rFonts w:hint="eastAsia" w:ascii="Times New Roman" w:hAnsi="Times New Roman" w:cs="Times New Roman"/>
                <w:sz w:val="20"/>
              </w:rPr>
            </w:pPr>
            <w:r>
              <w:rPr>
                <w:rFonts w:hint="eastAsia" w:ascii="Times New Roman" w:hAnsi="Times New Roman" w:cs="Times New Roman"/>
                <w:sz w:val="20"/>
              </w:rPr>
              <w:t>组织按管理体系需求配置了充足的人员、设施、监视和测量设备等资源，并建立软件开发（人工智能整体解决方案提供）相关</w:t>
            </w:r>
            <w:r>
              <w:rPr>
                <w:rFonts w:hint="eastAsia" w:ascii="Times New Roman" w:hAnsi="Times New Roman" w:cs="Times New Roman"/>
                <w:sz w:val="20"/>
                <w:lang w:val="en-US" w:eastAsia="zh-CN"/>
              </w:rPr>
              <w:t>的</w:t>
            </w:r>
            <w:r>
              <w:rPr>
                <w:rFonts w:hint="eastAsia" w:ascii="Times New Roman" w:hAnsi="Times New Roman" w:cs="Times New Roman"/>
                <w:sz w:val="20"/>
              </w:rPr>
              <w:t>运行环境，可以维持管理体系的正常运行。</w:t>
            </w:r>
          </w:p>
          <w:p>
            <w:pPr>
              <w:spacing w:line="240" w:lineRule="exact"/>
              <w:ind w:firstLine="400" w:firstLineChars="200"/>
              <w:rPr>
                <w:rFonts w:ascii="宋体" w:hAnsi="宋体"/>
                <w:b/>
                <w:color w:val="000000" w:themeColor="text1"/>
                <w:sz w:val="20"/>
                <w:szCs w:val="20"/>
              </w:rPr>
            </w:pPr>
            <w:r>
              <w:rPr>
                <w:rFonts w:hint="eastAsia" w:ascii="Times New Roman" w:hAnsi="Times New Roman" w:cs="Times New Roman"/>
                <w:sz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00" w:firstLineChars="200"/>
              <w:rPr>
                <w:rFonts w:ascii="宋体" w:hAnsi="宋体"/>
                <w:b/>
                <w:color w:val="000000" w:themeColor="text1"/>
                <w:sz w:val="20"/>
                <w:szCs w:val="20"/>
              </w:rPr>
            </w:pPr>
            <w:r>
              <w:rPr>
                <w:rFonts w:hint="eastAsia" w:ascii="Times New Roman" w:hAnsi="Times New Roman" w:cs="Times New Roman"/>
                <w:sz w:val="20"/>
              </w:rPr>
              <w:t>办公面积</w:t>
            </w:r>
            <w:r>
              <w:rPr>
                <w:rFonts w:hint="eastAsia" w:ascii="Times New Roman" w:hAnsi="Times New Roman" w:cs="Times New Roman"/>
                <w:sz w:val="20"/>
                <w:lang w:val="en-US" w:eastAsia="zh-CN"/>
              </w:rPr>
              <w:t>100</w:t>
            </w:r>
            <w:r>
              <w:rPr>
                <w:rFonts w:hint="eastAsia" w:ascii="Times New Roman" w:hAnsi="Times New Roman" w:cs="Times New Roman"/>
                <w:sz w:val="20"/>
              </w:rPr>
              <w:t>平方米左右，主要生产设备包括：</w:t>
            </w:r>
            <w:r>
              <w:rPr>
                <w:rFonts w:hint="eastAsia" w:ascii="Times New Roman" w:hAnsi="Times New Roman" w:cs="Times New Roman"/>
                <w:sz w:val="20"/>
                <w:lang w:val="en-US" w:eastAsia="zh-CN"/>
              </w:rPr>
              <w:t>笔记本电脑、台式电脑、打印机、华三交换机、服务器等37台套</w:t>
            </w:r>
            <w:r>
              <w:rPr>
                <w:rFonts w:hint="eastAsia" w:ascii="Times New Roman" w:hAnsi="Times New Roman" w:cs="Times New Roman"/>
                <w:sz w:val="20"/>
              </w:rPr>
              <w:t>，可以满足软件开发（人工智能整体解决方案提供）</w:t>
            </w:r>
            <w:r>
              <w:rPr>
                <w:rFonts w:hint="eastAsia" w:ascii="Times New Roman" w:hAnsi="Times New Roman" w:cs="Times New Roman"/>
                <w:sz w:val="20"/>
                <w:lang w:val="en-US" w:eastAsia="zh-CN"/>
              </w:rPr>
              <w:t>的</w:t>
            </w:r>
            <w:r>
              <w:rPr>
                <w:rFonts w:hint="eastAsia" w:ascii="Times New Roman" w:hAnsi="Times New Roman" w:cs="Times New Roman"/>
                <w:sz w:val="20"/>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
                <w:color w:val="000000" w:themeColor="text1"/>
                <w:sz w:val="20"/>
                <w:szCs w:val="20"/>
              </w:rPr>
            </w:pPr>
            <w:r>
              <w:rPr>
                <w:rFonts w:hint="eastAsia" w:ascii="Times New Roman" w:hAnsi="Times New Roman" w:cs="Times New Roman"/>
                <w:sz w:val="20"/>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00" w:firstLineChars="200"/>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t>接口测试：postman、JMeter</w:t>
            </w:r>
          </w:p>
          <w:p>
            <w:pPr>
              <w:spacing w:line="240" w:lineRule="exact"/>
              <w:ind w:firstLine="400" w:firstLineChars="200"/>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t xml:space="preserve">自动化：编程语言python+selenium </w:t>
            </w:r>
          </w:p>
          <w:p>
            <w:pPr>
              <w:spacing w:line="240" w:lineRule="exact"/>
              <w:ind w:firstLine="400" w:firstLineChars="200"/>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t>性能测试工具：JMeter</w:t>
            </w:r>
          </w:p>
          <w:p>
            <w:pPr>
              <w:spacing w:line="240" w:lineRule="exact"/>
              <w:ind w:firstLine="400" w:firstLineChars="200"/>
              <w:rPr>
                <w:rFonts w:ascii="宋体" w:hAnsi="宋体"/>
                <w:b/>
                <w:color w:val="000000" w:themeColor="text1"/>
                <w:sz w:val="20"/>
                <w:szCs w:val="20"/>
              </w:rPr>
            </w:pPr>
            <w:r>
              <w:rPr>
                <w:rFonts w:hint="eastAsia" w:ascii="Times New Roman" w:hAnsi="Times New Roman" w:eastAsia="宋体" w:cs="Times New Roman"/>
                <w:sz w:val="20"/>
                <w:lang w:eastAsia="zh-CN"/>
              </w:rPr>
              <w:t>安全测试工具：AppScan</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Times New Roman" w:hAnsi="Times New Roman" w:cs="Times New Roman"/>
                <w:sz w:val="20"/>
              </w:rPr>
            </w:pPr>
            <w:r>
              <w:rPr>
                <w:rFonts w:hint="eastAsia" w:ascii="Times New Roman" w:hAnsi="Times New Roman" w:cs="Times New Roman"/>
                <w:sz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00" w:firstLineChars="200"/>
              <w:rPr>
                <w:rFonts w:ascii="宋体" w:hAnsi="宋体"/>
                <w:b/>
                <w:color w:val="000000" w:themeColor="text1"/>
                <w:sz w:val="20"/>
                <w:szCs w:val="20"/>
              </w:rPr>
            </w:pPr>
            <w:r>
              <w:rPr>
                <w:rFonts w:hint="eastAsia" w:ascii="Times New Roman" w:hAnsi="Times New Roman" w:cs="Times New Roman"/>
                <w:sz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sz w:val="20"/>
                <w:szCs w:val="20"/>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00" w:firstLineChars="200"/>
              <w:rPr>
                <w:b/>
                <w:color w:val="000000" w:themeColor="text1"/>
                <w:sz w:val="20"/>
                <w:szCs w:val="20"/>
              </w:rPr>
            </w:pPr>
            <w:r>
              <w:rPr>
                <w:rFonts w:hint="eastAsia" w:ascii="Times New Roman" w:hAnsi="Times New Roman" w:cs="Times New Roman"/>
                <w:sz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Times New Roman" w:hAnsi="Times New Roman" w:eastAsia="宋体" w:cs="Times New Roman"/>
                <w:sz w:val="20"/>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sz w:val="20"/>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hint="eastAsia" w:ascii="Times New Roman" w:hAnsi="Times New Roman" w:eastAsia="宋体" w:cs="Times New Roman"/>
                <w:sz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sz w:val="20"/>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b/>
                <w:color w:val="000000" w:themeColor="text1"/>
                <w:sz w:val="20"/>
                <w:szCs w:val="20"/>
              </w:rPr>
            </w:pPr>
            <w:r>
              <w:rPr>
                <w:rFonts w:hint="eastAsia" w:ascii="Times New Roman" w:hAnsi="Times New Roman" w:cs="Times New Roman"/>
                <w:sz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00" w:firstLineChars="200"/>
              <w:rPr>
                <w:rFonts w:hint="eastAsia" w:ascii="Times New Roman" w:hAnsi="Times New Roman" w:cs="Times New Roman"/>
                <w:sz w:val="20"/>
              </w:rPr>
            </w:pPr>
            <w:r>
              <w:rPr>
                <w:rFonts w:hint="eastAsia" w:ascii="Times New Roman" w:hAnsi="Times New Roman" w:cs="Times New Roman"/>
                <w:sz w:val="20"/>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4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
                <w:color w:val="000000" w:themeColor="text1"/>
                <w:sz w:val="20"/>
                <w:szCs w:val="20"/>
              </w:rPr>
            </w:pPr>
            <w:r>
              <w:rPr>
                <w:rFonts w:hint="eastAsia" w:ascii="Times New Roman" w:hAnsi="Times New Roman" w:cs="Times New Roman"/>
                <w:sz w:val="20"/>
                <w:lang w:val="en-US" w:eastAsia="zh-CN"/>
              </w:rPr>
              <w:t>远程</w:t>
            </w:r>
            <w:r>
              <w:rPr>
                <w:rFonts w:hint="eastAsia" w:ascii="Times New Roman" w:hAnsi="Times New Roman" w:cs="Times New Roman"/>
                <w:sz w:val="20"/>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0" w:firstLineChars="200"/>
              <w:rPr>
                <w:b/>
                <w:color w:val="000000" w:themeColor="text1"/>
                <w:sz w:val="20"/>
                <w:szCs w:val="20"/>
              </w:rPr>
            </w:pPr>
            <w:r>
              <w:rPr>
                <w:rFonts w:hint="eastAsia" w:ascii="Times New Roman" w:hAnsi="Times New Roman" w:cs="Times New Roman"/>
                <w:sz w:val="20"/>
              </w:rPr>
              <w:t>组织重要环境因素为固废排放和潜在火灾，需要应对的风险和机遇相关的过程为</w:t>
            </w:r>
            <w:r>
              <w:rPr>
                <w:rFonts w:hint="eastAsia" w:ascii="Times New Roman" w:hAnsi="Times New Roman" w:cs="Times New Roman"/>
                <w:sz w:val="20"/>
                <w:lang w:val="en-US" w:eastAsia="zh-CN"/>
              </w:rPr>
              <w:t>设计开发</w:t>
            </w:r>
            <w:r>
              <w:rPr>
                <w:rFonts w:hint="eastAsia" w:ascii="Times New Roman" w:hAnsi="Times New Roman" w:cs="Times New Roman"/>
                <w:sz w:val="20"/>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ind w:firstLine="400" w:firstLineChars="200"/>
              <w:rPr>
                <w:rFonts w:asciiTheme="minorEastAsia" w:hAnsiTheme="minorEastAsia" w:eastAsiaTheme="minorEastAsia"/>
                <w:b/>
                <w:color w:val="000000" w:themeColor="text1"/>
                <w:spacing w:val="-4"/>
                <w:sz w:val="20"/>
                <w:szCs w:val="20"/>
              </w:rPr>
            </w:pPr>
            <w:r>
              <w:rPr>
                <w:rFonts w:hint="eastAsia" w:ascii="Times New Roman" w:hAnsi="Times New Roman" w:cs="Times New Roman"/>
                <w:sz w:val="20"/>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300" w:firstLineChars="150"/>
              <w:rPr>
                <w:b/>
                <w:sz w:val="20"/>
                <w:szCs w:val="20"/>
              </w:rPr>
            </w:pPr>
            <w:r>
              <w:rPr>
                <w:rFonts w:hint="eastAsia" w:ascii="Times New Roman" w:hAnsi="Times New Roman" w:cs="Times New Roman"/>
                <w:sz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Times New Roman" w:hAnsi="Times New Roman" w:cs="Times New Roman"/>
                <w:sz w:val="20"/>
                <w:lang w:val="en-US" w:eastAsia="zh-CN"/>
              </w:rPr>
              <w:t>20</w:t>
            </w:r>
            <w:r>
              <w:rPr>
                <w:rFonts w:hint="eastAsia" w:ascii="Times New Roman" w:hAnsi="Times New Roman" w:cs="Times New Roman"/>
                <w:sz w:val="20"/>
              </w:rPr>
              <w:t>年</w:t>
            </w:r>
            <w:r>
              <w:rPr>
                <w:rFonts w:hint="eastAsia" w:ascii="Times New Roman" w:hAnsi="Times New Roman" w:cs="Times New Roman"/>
                <w:sz w:val="20"/>
                <w:lang w:val="en-US" w:eastAsia="zh-CN"/>
              </w:rPr>
              <w:t>12</w:t>
            </w:r>
            <w:r>
              <w:rPr>
                <w:rFonts w:hint="eastAsia" w:ascii="Times New Roman" w:hAnsi="Times New Roman" w:cs="Times New Roman"/>
                <w:sz w:val="20"/>
              </w:rPr>
              <w:t>月-</w:t>
            </w:r>
            <w:r>
              <w:rPr>
                <w:rFonts w:hint="eastAsia" w:ascii="Times New Roman" w:hAnsi="Times New Roman" w:cs="Times New Roman"/>
                <w:sz w:val="20"/>
                <w:lang w:val="en-US" w:eastAsia="zh-CN"/>
              </w:rPr>
              <w:t>2021年3</w:t>
            </w:r>
            <w:r>
              <w:rPr>
                <w:rFonts w:hint="eastAsia" w:ascii="Times New Roman" w:hAnsi="Times New Roman" w:cs="Times New Roman"/>
                <w:sz w:val="20"/>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20" w:leftChars="50" w:firstLine="300" w:firstLineChars="150"/>
              <w:rPr>
                <w:b/>
                <w:sz w:val="20"/>
                <w:szCs w:val="20"/>
              </w:rPr>
            </w:pPr>
            <w:r>
              <w:rPr>
                <w:rFonts w:hint="eastAsia" w:ascii="Times New Roman" w:hAnsi="Times New Roman" w:cs="Times New Roman"/>
                <w:sz w:val="20"/>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Times New Roman" w:hAnsi="Times New Roman" w:cs="Times New Roman"/>
                <w:sz w:val="20"/>
                <w:lang w:val="en-US" w:eastAsia="zh-CN"/>
              </w:rPr>
              <w:t>21</w:t>
            </w:r>
            <w:r>
              <w:rPr>
                <w:rFonts w:hint="eastAsia" w:ascii="Times New Roman" w:hAnsi="Times New Roman" w:cs="Times New Roman"/>
                <w:sz w:val="20"/>
              </w:rPr>
              <w:t>年</w:t>
            </w:r>
            <w:r>
              <w:rPr>
                <w:rFonts w:hint="eastAsia" w:ascii="Times New Roman" w:hAnsi="Times New Roman" w:cs="Times New Roman"/>
                <w:sz w:val="20"/>
                <w:lang w:val="en-US" w:eastAsia="zh-CN"/>
              </w:rPr>
              <w:t>2</w:t>
            </w:r>
            <w:r>
              <w:rPr>
                <w:rFonts w:hint="eastAsia" w:ascii="Times New Roman" w:hAnsi="Times New Roman" w:cs="Times New Roman"/>
                <w:sz w:val="20"/>
              </w:rPr>
              <w:t>月实施，满意度评价</w:t>
            </w:r>
            <w:r>
              <w:rPr>
                <w:rFonts w:hint="eastAsia" w:ascii="Times New Roman" w:hAnsi="Times New Roman" w:cs="Times New Roman"/>
                <w:sz w:val="20"/>
                <w:lang w:val="en-US" w:eastAsia="zh-CN"/>
              </w:rPr>
              <w:t>98</w:t>
            </w:r>
            <w:r>
              <w:rPr>
                <w:rFonts w:hint="eastAsia" w:ascii="Times New Roman" w:hAnsi="Times New Roman" w:cs="Times New Roman"/>
                <w:sz w:val="20"/>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00" w:firstLineChars="200"/>
              <w:rPr>
                <w:rFonts w:hint="default"/>
                <w:b/>
                <w:sz w:val="20"/>
                <w:szCs w:val="20"/>
                <w:lang w:val="en-US"/>
              </w:rPr>
            </w:pPr>
            <w:r>
              <w:rPr>
                <w:rFonts w:hint="eastAsia" w:ascii="Times New Roman" w:hAnsi="Times New Roman" w:cs="Times New Roman"/>
                <w:sz w:val="20"/>
              </w:rPr>
              <w:t>建立有《内部审核控制程序》，规定了内审频次一年一次，内审时间</w:t>
            </w:r>
            <w:r>
              <w:rPr>
                <w:rFonts w:hint="eastAsia" w:ascii="Times New Roman" w:hAnsi="Times New Roman" w:eastAsia="宋体" w:cs="Times New Roman"/>
                <w:sz w:val="20"/>
              </w:rPr>
              <w:t>：2021年3月1日，拟定了审核实施表，明确了内审范围，内审人员经培训合格上岗，能力满足要求，未出现审核本部门情况，内审不符合项</w:t>
            </w:r>
            <w:r>
              <w:rPr>
                <w:rFonts w:hint="eastAsia" w:ascii="Times New Roman" w:hAnsi="Times New Roman" w:eastAsia="宋体" w:cs="Times New Roman"/>
                <w:sz w:val="20"/>
                <w:lang w:val="en-US" w:eastAsia="zh-CN"/>
              </w:rPr>
              <w:t>1</w:t>
            </w:r>
            <w:r>
              <w:rPr>
                <w:rFonts w:hint="eastAsia" w:ascii="Times New Roman" w:hAnsi="Times New Roman" w:eastAsia="宋体" w:cs="Times New Roman"/>
                <w:sz w:val="20"/>
              </w:rPr>
              <w:t>项，针对该不符合项，已及时采取纠正措施后，经内审员验证关</w:t>
            </w:r>
            <w:r>
              <w:rPr>
                <w:rFonts w:hint="eastAsia" w:ascii="Times New Roman" w:hAnsi="Times New Roman" w:cs="Times New Roman"/>
                <w:sz w:val="20"/>
              </w:rPr>
              <w:t>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r>
              <w:rPr>
                <w:rFonts w:hint="eastAsia" w:ascii="Times New Roman" w:hAnsi="Times New Roman" w:cs="Times New Roman"/>
                <w:sz w:val="20"/>
              </w:rPr>
              <w:t>管理评审频次为一年一次、本次</w:t>
            </w:r>
            <w:r>
              <w:rPr>
                <w:rFonts w:hint="eastAsia" w:ascii="Times New Roman" w:hAnsi="Times New Roman" w:eastAsia="宋体" w:cs="Times New Roman"/>
                <w:sz w:val="20"/>
              </w:rPr>
              <w:t>管理评审于</w:t>
            </w:r>
            <w:r>
              <w:rPr>
                <w:rFonts w:hint="eastAsia" w:ascii="Times New Roman" w:hAnsi="Times New Roman" w:eastAsia="宋体" w:cs="Times New Roman"/>
                <w:sz w:val="20"/>
                <w:lang w:eastAsia="zh-CN"/>
              </w:rPr>
              <w:t>2021年3月15日</w:t>
            </w:r>
            <w:r>
              <w:rPr>
                <w:rFonts w:hint="eastAsia" w:ascii="Times New Roman" w:hAnsi="Times New Roman" w:eastAsia="宋体" w:cs="Times New Roman"/>
                <w:sz w:val="20"/>
              </w:rPr>
              <w:t>由</w:t>
            </w:r>
            <w:r>
              <w:rPr>
                <w:rFonts w:hint="eastAsia" w:ascii="Times New Roman" w:hAnsi="Times New Roman" w:cs="Times New Roman"/>
                <w:sz w:val="20"/>
              </w:rPr>
              <w:t>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00" w:firstLineChars="200"/>
              <w:rPr>
                <w:b/>
                <w:color w:val="000000" w:themeColor="text1"/>
                <w:sz w:val="20"/>
                <w:szCs w:val="20"/>
              </w:rPr>
            </w:pPr>
            <w:r>
              <w:rPr>
                <w:rFonts w:hint="eastAsia" w:ascii="Times New Roman" w:hAnsi="Times New Roman" w:cs="Times New Roman"/>
                <w:sz w:val="20"/>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ascii="Times New Roman" w:hAnsi="Times New Roman" w:cs="Times New Roman"/>
                <w:sz w:val="20"/>
                <w:lang w:val="en-US" w:eastAsia="zh-CN"/>
              </w:rPr>
              <w:t>上次审核不符合标准8.2条款，经本次验证未出现类似情况。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1911985</wp:posOffset>
            </wp:positionH>
            <wp:positionV relativeFrom="paragraph">
              <wp:posOffset>332105</wp:posOffset>
            </wp:positionV>
            <wp:extent cx="425450" cy="300990"/>
            <wp:effectExtent l="0" t="0" r="12700" b="3810"/>
            <wp:wrapSquare wrapText="bothSides"/>
            <wp:docPr id="2"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2021年05月07日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b/>
          <w:sz w:val="21"/>
          <w:szCs w:val="21"/>
          <w:u w:val="single"/>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1262380</wp:posOffset>
            </wp:positionH>
            <wp:positionV relativeFrom="paragraph">
              <wp:posOffset>10795</wp:posOffset>
            </wp:positionV>
            <wp:extent cx="353060" cy="232410"/>
            <wp:effectExtent l="0" t="0" r="8890" b="15875"/>
            <wp:wrapSquare wrapText="bothSides"/>
            <wp:docPr id="3" name="图片 5"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李林签名"/>
                    <pic:cNvPicPr>
                      <a:picLocks noChangeAspect="1"/>
                    </pic:cNvPicPr>
                  </pic:nvPicPr>
                  <pic:blipFill>
                    <a:blip r:embed="rId6"/>
                    <a:stretch>
                      <a:fillRect/>
                    </a:stretch>
                  </pic:blipFill>
                  <pic:spPr>
                    <a:xfrm>
                      <a:off x="0" y="0"/>
                      <a:ext cx="353060" cy="23241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C13FB"/>
    <w:rsid w:val="03674317"/>
    <w:rsid w:val="044E66CD"/>
    <w:rsid w:val="05CA3BC8"/>
    <w:rsid w:val="068617EF"/>
    <w:rsid w:val="06BF7042"/>
    <w:rsid w:val="163B2A05"/>
    <w:rsid w:val="1A8B13AD"/>
    <w:rsid w:val="1DA305E8"/>
    <w:rsid w:val="22F42890"/>
    <w:rsid w:val="26DF5FE1"/>
    <w:rsid w:val="31991DF5"/>
    <w:rsid w:val="34942E44"/>
    <w:rsid w:val="3A3B22F1"/>
    <w:rsid w:val="3AC90DC3"/>
    <w:rsid w:val="3B53660D"/>
    <w:rsid w:val="41B95B1B"/>
    <w:rsid w:val="42D80987"/>
    <w:rsid w:val="43D529C8"/>
    <w:rsid w:val="49E21C7B"/>
    <w:rsid w:val="4AB226F9"/>
    <w:rsid w:val="4B470A87"/>
    <w:rsid w:val="4F4146EC"/>
    <w:rsid w:val="539C2AE0"/>
    <w:rsid w:val="57D5084E"/>
    <w:rsid w:val="5BDE0ED1"/>
    <w:rsid w:val="5FD11A26"/>
    <w:rsid w:val="64A222DB"/>
    <w:rsid w:val="65BB3260"/>
    <w:rsid w:val="6AF132D0"/>
    <w:rsid w:val="6C9D1FFF"/>
    <w:rsid w:val="6FD25546"/>
    <w:rsid w:val="73F06552"/>
    <w:rsid w:val="78AC2357"/>
    <w:rsid w:val="7D23084C"/>
    <w:rsid w:val="7D2D1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2"/>
    <w:semiHidden/>
    <w:qFormat/>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semiHidden/>
    <w:qFormat/>
    <w:locked/>
    <w:uiPriority w:val="99"/>
    <w:rPr>
      <w:rFonts w:ascii="Times New Roman" w:hAnsi="Times New Roman" w:eastAsia="宋体" w:cs="Times New Roman"/>
      <w:sz w:val="18"/>
      <w:szCs w:val="18"/>
    </w:rPr>
  </w:style>
  <w:style w:type="character" w:customStyle="1" w:styleId="14">
    <w:name w:val="页眉 Char"/>
    <w:link w:val="7"/>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2021-05-06T08:32:36Z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39A23F89F90A4E87B305A7E7298AC553</vt:lpwstr>
  </property>
</Properties>
</file>