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0425-2019-Q-2021</w:t>
      </w:r>
      <w:bookmarkEnd w:id="0"/>
      <w:r>
        <w:rPr>
          <w:szCs w:val="44"/>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afterLines="30"/>
        <w:ind w:firstLine="321" w:firstLineChars="100"/>
        <w:rPr>
          <w:rFonts w:hint="eastAsia" w:ascii="楷体" w:hAnsi="楷体" w:eastAsia="楷体"/>
          <w:b/>
          <w:color w:val="000000"/>
          <w:sz w:val="32"/>
          <w:szCs w:val="32"/>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受审核方：广安渝强塑业有限责任公司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 1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Style w:val="11"/>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numPr>
          <w:ilvl w:val="0"/>
          <w:numId w:val="1"/>
        </w:numPr>
        <w:rPr>
          <w:rFonts w:hint="eastAsia" w:ascii="宋体" w:hAnsi="宋体"/>
          <w:b/>
          <w:color w:val="000000"/>
          <w:sz w:val="26"/>
          <w:szCs w:val="26"/>
        </w:rPr>
      </w:pPr>
      <w:r>
        <w:rPr>
          <w:rFonts w:hint="eastAsia" w:ascii="宋体" w:hAnsi="宋体"/>
          <w:b/>
          <w:color w:val="000000"/>
          <w:sz w:val="26"/>
          <w:szCs w:val="26"/>
        </w:rPr>
        <w:t>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14.02.02</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____</w:t>
      </w:r>
    </w:p>
    <w:p>
      <w:pPr>
        <w:tabs>
          <w:tab w:val="left" w:pos="645"/>
        </w:tabs>
        <w:rPr>
          <w:b/>
          <w:sz w:val="21"/>
          <w:szCs w:val="21"/>
        </w:rPr>
      </w:pPr>
      <w:r>
        <w:rPr>
          <w:rFonts w:hint="eastAsia"/>
          <w:b/>
          <w:sz w:val="21"/>
          <w:szCs w:val="21"/>
          <w:lang w:eastAsia="zh-CN"/>
        </w:rPr>
        <w:t>☑</w:t>
      </w:r>
      <w:r>
        <w:rPr>
          <w:rFonts w:hint="eastAsia"/>
          <w:b/>
          <w:sz w:val="21"/>
          <w:szCs w:val="21"/>
        </w:rPr>
        <w:t>恢复认证注册资格：____</w:t>
      </w:r>
      <w:r>
        <w:rPr>
          <w:rFonts w:hint="eastAsia"/>
          <w:b/>
          <w:sz w:val="21"/>
          <w:szCs w:val="21"/>
          <w:u w:val="single"/>
        </w:rPr>
        <w:t>监督1</w:t>
      </w:r>
      <w:r>
        <w:rPr>
          <w:rFonts w:hint="eastAsia"/>
          <w:b/>
          <w:sz w:val="21"/>
          <w:szCs w:val="21"/>
        </w:rPr>
        <w:t>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2"/>
        </w:numPr>
        <w:tabs>
          <w:tab w:val="left" w:pos="645"/>
        </w:tabs>
        <w:rPr>
          <w:b/>
          <w:sz w:val="26"/>
          <w:szCs w:val="26"/>
        </w:rPr>
      </w:pPr>
      <w:r>
        <w:rPr>
          <w:rFonts w:hint="eastAsia"/>
          <w:b/>
          <w:sz w:val="26"/>
          <w:szCs w:val="26"/>
        </w:rPr>
        <w:t>受审核方基本信息</w:t>
      </w:r>
    </w:p>
    <w:tbl>
      <w:tblPr>
        <w:tblStyle w:val="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578"/>
        <w:gridCol w:w="2288"/>
        <w:gridCol w:w="1109"/>
        <w:gridCol w:w="1609"/>
        <w:gridCol w:w="9"/>
        <w:gridCol w:w="1457"/>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19"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015" w:type="dxa"/>
            <w:gridSpan w:val="4"/>
          </w:tcPr>
          <w:p>
            <w:pPr>
              <w:spacing w:line="260" w:lineRule="exact"/>
              <w:rPr>
                <w:rFonts w:ascii="宋体"/>
                <w:b/>
                <w:color w:val="FF0000"/>
                <w:sz w:val="21"/>
              </w:rPr>
            </w:pPr>
            <w:bookmarkStart w:id="11" w:name="组织名称Add"/>
            <w:r>
              <w:rPr>
                <w:rFonts w:ascii="宋体"/>
                <w:b/>
                <w:sz w:val="21"/>
              </w:rPr>
              <w:t>广安渝强塑业有限责任公司</w:t>
            </w:r>
            <w:bookmarkEnd w:id="11"/>
          </w:p>
        </w:tc>
        <w:tc>
          <w:tcPr>
            <w:tcW w:w="145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887" w:type="dxa"/>
          </w:tcPr>
          <w:p>
            <w:pPr>
              <w:spacing w:line="260" w:lineRule="exact"/>
              <w:rPr>
                <w:rFonts w:ascii="宋体"/>
                <w:b/>
                <w:sz w:val="21"/>
              </w:rPr>
            </w:pPr>
            <w:bookmarkStart w:id="12" w:name="体系人数"/>
            <w:r>
              <w:rPr>
                <w:rFonts w:hint="eastAsia"/>
                <w:color w:val="000000"/>
                <w:szCs w:val="21"/>
                <w:lang w:val="en-US" w:eastAsia="zh-CN"/>
              </w:rPr>
              <w:t>4</w:t>
            </w:r>
            <w:r>
              <w:rPr>
                <w:color w:val="000000"/>
                <w:szCs w:val="21"/>
              </w:rPr>
              <w:t>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19" w:type="dxa"/>
            <w:gridSpan w:val="2"/>
            <w:vAlign w:val="center"/>
          </w:tcPr>
          <w:p>
            <w:pPr>
              <w:jc w:val="center"/>
              <w:rPr>
                <w:b/>
                <w:sz w:val="16"/>
                <w:szCs w:val="16"/>
              </w:rPr>
            </w:pPr>
            <w:r>
              <w:rPr>
                <w:rFonts w:hint="eastAsia" w:ascii="宋体" w:hAnsi="宋体"/>
                <w:b/>
                <w:sz w:val="21"/>
                <w:szCs w:val="21"/>
              </w:rPr>
              <w:t>注册地址</w:t>
            </w:r>
          </w:p>
        </w:tc>
        <w:tc>
          <w:tcPr>
            <w:tcW w:w="5015" w:type="dxa"/>
            <w:gridSpan w:val="4"/>
          </w:tcPr>
          <w:p>
            <w:pPr>
              <w:rPr>
                <w:rFonts w:ascii="宋体"/>
                <w:b/>
                <w:sz w:val="21"/>
              </w:rPr>
            </w:pPr>
            <w:bookmarkStart w:id="13" w:name="注册地址"/>
            <w:r>
              <w:rPr>
                <w:rFonts w:ascii="宋体"/>
                <w:b/>
                <w:sz w:val="21"/>
              </w:rPr>
              <w:t>四川省广安市前锋区广前大道33号</w:t>
            </w:r>
            <w:bookmarkEnd w:id="13"/>
          </w:p>
        </w:tc>
        <w:tc>
          <w:tcPr>
            <w:tcW w:w="1457" w:type="dxa"/>
            <w:vMerge w:val="restart"/>
            <w:vAlign w:val="center"/>
          </w:tcPr>
          <w:p>
            <w:pPr>
              <w:jc w:val="center"/>
              <w:rPr>
                <w:rFonts w:ascii="宋体"/>
                <w:b/>
                <w:sz w:val="21"/>
              </w:rPr>
            </w:pPr>
            <w:r>
              <w:rPr>
                <w:rFonts w:hint="eastAsia" w:ascii="宋体" w:hAnsi="宋体"/>
                <w:b/>
                <w:sz w:val="21"/>
              </w:rPr>
              <w:t>邮编</w:t>
            </w:r>
          </w:p>
        </w:tc>
        <w:tc>
          <w:tcPr>
            <w:tcW w:w="1887" w:type="dxa"/>
          </w:tcPr>
          <w:p>
            <w:pPr>
              <w:rPr>
                <w:rFonts w:ascii="宋体"/>
                <w:b/>
                <w:sz w:val="21"/>
              </w:rPr>
            </w:pPr>
            <w:bookmarkStart w:id="14" w:name="注册邮编"/>
            <w:r>
              <w:rPr>
                <w:rFonts w:ascii="宋体"/>
                <w:b/>
                <w:sz w:val="21"/>
              </w:rPr>
              <w:t>638019</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19" w:type="dxa"/>
            <w:gridSpan w:val="2"/>
            <w:vAlign w:val="center"/>
          </w:tcPr>
          <w:p>
            <w:pPr>
              <w:jc w:val="center"/>
              <w:rPr>
                <w:rFonts w:ascii="宋体"/>
                <w:b/>
                <w:sz w:val="21"/>
                <w:szCs w:val="21"/>
              </w:rPr>
            </w:pPr>
            <w:r>
              <w:rPr>
                <w:rFonts w:hint="eastAsia" w:ascii="宋体" w:hAnsi="宋体"/>
                <w:b/>
                <w:sz w:val="21"/>
                <w:szCs w:val="21"/>
              </w:rPr>
              <w:t>经营地址</w:t>
            </w:r>
          </w:p>
        </w:tc>
        <w:tc>
          <w:tcPr>
            <w:tcW w:w="5015" w:type="dxa"/>
            <w:gridSpan w:val="4"/>
          </w:tcPr>
          <w:p>
            <w:pPr>
              <w:rPr>
                <w:rFonts w:ascii="宋体"/>
                <w:b/>
                <w:sz w:val="21"/>
              </w:rPr>
            </w:pPr>
            <w:bookmarkStart w:id="15" w:name="办公地址"/>
            <w:r>
              <w:rPr>
                <w:rFonts w:ascii="宋体"/>
                <w:b/>
                <w:sz w:val="21"/>
              </w:rPr>
              <w:t>四川省广安市前锋区广前大道33号2幢、3幢、5幢</w:t>
            </w:r>
            <w:bookmarkEnd w:id="15"/>
          </w:p>
        </w:tc>
        <w:tc>
          <w:tcPr>
            <w:tcW w:w="1457" w:type="dxa"/>
            <w:vMerge w:val="continue"/>
            <w:vAlign w:val="center"/>
          </w:tcPr>
          <w:p>
            <w:pPr>
              <w:jc w:val="center"/>
              <w:rPr>
                <w:rFonts w:ascii="宋体"/>
                <w:b/>
                <w:sz w:val="21"/>
              </w:rPr>
            </w:pPr>
          </w:p>
        </w:tc>
        <w:tc>
          <w:tcPr>
            <w:tcW w:w="1887" w:type="dxa"/>
          </w:tcPr>
          <w:p>
            <w:pPr>
              <w:rPr>
                <w:rFonts w:ascii="宋体"/>
                <w:b/>
                <w:sz w:val="21"/>
              </w:rPr>
            </w:pPr>
            <w:bookmarkStart w:id="16" w:name="办公邮编"/>
            <w:r>
              <w:rPr>
                <w:rFonts w:ascii="宋体"/>
                <w:b/>
                <w:sz w:val="21"/>
              </w:rPr>
              <w:t>638019</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9"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015" w:type="dxa"/>
            <w:gridSpan w:val="4"/>
          </w:tcPr>
          <w:p>
            <w:pPr>
              <w:rPr>
                <w:rFonts w:ascii="宋体"/>
                <w:b/>
                <w:sz w:val="21"/>
              </w:rPr>
            </w:pPr>
            <w:bookmarkStart w:id="17" w:name="生产地址Add"/>
            <w:r>
              <w:rPr>
                <w:rFonts w:ascii="宋体"/>
                <w:b/>
                <w:sz w:val="21"/>
              </w:rPr>
              <w:t>四川省广安市前锋区广前大道33号2幢、3幢、5幢</w:t>
            </w:r>
            <w:bookmarkEnd w:id="17"/>
          </w:p>
        </w:tc>
        <w:tc>
          <w:tcPr>
            <w:tcW w:w="1457" w:type="dxa"/>
            <w:vMerge w:val="continue"/>
            <w:vAlign w:val="center"/>
          </w:tcPr>
          <w:p>
            <w:pPr>
              <w:jc w:val="center"/>
              <w:rPr>
                <w:rFonts w:ascii="宋体"/>
                <w:b/>
                <w:sz w:val="21"/>
              </w:rPr>
            </w:pPr>
          </w:p>
        </w:tc>
        <w:tc>
          <w:tcPr>
            <w:tcW w:w="1887" w:type="dxa"/>
          </w:tcPr>
          <w:p>
            <w:pPr>
              <w:rPr>
                <w:rFonts w:ascii="宋体"/>
                <w:b/>
                <w:sz w:val="21"/>
              </w:rPr>
            </w:pPr>
            <w:bookmarkStart w:id="18" w:name="生产邮编"/>
            <w:r>
              <w:rPr>
                <w:rFonts w:ascii="宋体"/>
                <w:b/>
                <w:sz w:val="21"/>
              </w:rPr>
              <w:t>638019</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619" w:type="dxa"/>
            <w:gridSpan w:val="2"/>
            <w:vAlign w:val="center"/>
          </w:tcPr>
          <w:p>
            <w:pPr>
              <w:jc w:val="center"/>
              <w:rPr>
                <w:rFonts w:ascii="宋体"/>
                <w:b/>
                <w:sz w:val="21"/>
              </w:rPr>
            </w:pPr>
            <w:r>
              <w:rPr>
                <w:rFonts w:hint="eastAsia" w:ascii="宋体" w:hAnsi="宋体"/>
                <w:b/>
                <w:sz w:val="21"/>
              </w:rPr>
              <w:t>联系人</w:t>
            </w:r>
          </w:p>
        </w:tc>
        <w:tc>
          <w:tcPr>
            <w:tcW w:w="2288" w:type="dxa"/>
          </w:tcPr>
          <w:p>
            <w:pPr>
              <w:rPr>
                <w:rFonts w:ascii="宋体"/>
                <w:b/>
                <w:sz w:val="21"/>
              </w:rPr>
            </w:pPr>
            <w:bookmarkStart w:id="19" w:name="联系人"/>
            <w:r>
              <w:rPr>
                <w:rFonts w:ascii="宋体"/>
                <w:b/>
                <w:sz w:val="21"/>
              </w:rPr>
              <w:t>吴世界</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13609412293</w:t>
            </w:r>
            <w:bookmarkEnd w:id="20"/>
          </w:p>
        </w:tc>
        <w:tc>
          <w:tcPr>
            <w:tcW w:w="1457" w:type="dxa"/>
            <w:vAlign w:val="center"/>
          </w:tcPr>
          <w:p>
            <w:pPr>
              <w:jc w:val="center"/>
              <w:rPr>
                <w:rFonts w:ascii="宋体"/>
                <w:b/>
                <w:sz w:val="21"/>
              </w:rPr>
            </w:pPr>
            <w:r>
              <w:rPr>
                <w:rFonts w:hint="eastAsia" w:ascii="宋体" w:hAnsi="宋体"/>
                <w:b/>
                <w:sz w:val="21"/>
              </w:rPr>
              <w:t>传真</w:t>
            </w:r>
          </w:p>
        </w:tc>
        <w:tc>
          <w:tcPr>
            <w:tcW w:w="1887"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19"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288" w:type="dxa"/>
          </w:tcPr>
          <w:p>
            <w:pPr>
              <w:rPr>
                <w:rFonts w:ascii="宋体" w:hAnsi="宋体"/>
                <w:b/>
                <w:sz w:val="21"/>
                <w:szCs w:val="21"/>
              </w:rPr>
            </w:pPr>
            <w:bookmarkStart w:id="22" w:name="法人"/>
            <w:r>
              <w:rPr>
                <w:rFonts w:ascii="宋体" w:hAnsi="宋体"/>
                <w:b/>
                <w:sz w:val="21"/>
                <w:szCs w:val="21"/>
              </w:rPr>
              <w:t>吴世界</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457" w:type="dxa"/>
            <w:vAlign w:val="center"/>
          </w:tcPr>
          <w:p>
            <w:pPr>
              <w:jc w:val="center"/>
              <w:rPr>
                <w:rFonts w:ascii="宋体" w:hAnsi="宋体"/>
                <w:b/>
                <w:sz w:val="21"/>
                <w:szCs w:val="21"/>
              </w:rPr>
            </w:pPr>
            <w:r>
              <w:rPr>
                <w:rFonts w:hint="eastAsia" w:ascii="宋体" w:hAnsi="宋体"/>
                <w:b/>
                <w:sz w:val="21"/>
                <w:szCs w:val="21"/>
              </w:rPr>
              <w:t>管理者代表</w:t>
            </w:r>
          </w:p>
        </w:tc>
        <w:tc>
          <w:tcPr>
            <w:tcW w:w="1887" w:type="dxa"/>
          </w:tcPr>
          <w:p>
            <w:pPr>
              <w:rPr>
                <w:rFonts w:ascii="宋体"/>
                <w:b/>
                <w:sz w:val="21"/>
              </w:rPr>
            </w:pPr>
            <w:bookmarkStart w:id="23" w:name="管理者代表"/>
            <w:r>
              <w:rPr>
                <w:rFonts w:ascii="宋体"/>
                <w:b/>
                <w:sz w:val="21"/>
              </w:rPr>
              <w:t>吴世界</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19"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397" w:type="dxa"/>
            <w:gridSpan w:val="2"/>
            <w:vAlign w:val="center"/>
          </w:tcPr>
          <w:p>
            <w:pPr>
              <w:rPr>
                <w:rFonts w:ascii="宋体" w:hAnsi="宋体"/>
                <w:b/>
                <w:sz w:val="21"/>
                <w:szCs w:val="21"/>
              </w:rPr>
            </w:pPr>
            <w:bookmarkStart w:id="24" w:name="审核日期"/>
            <w:r>
              <w:rPr>
                <w:rFonts w:ascii="宋体" w:hAnsi="宋体"/>
                <w:b/>
                <w:sz w:val="21"/>
                <w:szCs w:val="21"/>
              </w:rPr>
              <w:t>2021年04月10日 上午至2021年04月10日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353"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619"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359"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ascii="宋体" w:hAnsi="宋体"/>
                <w:b/>
                <w:sz w:val="21"/>
                <w:szCs w:val="21"/>
              </w:rPr>
              <w:t>广安渝强塑业有限责任公司</w:t>
            </w:r>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578"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8359"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9"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88" w:type="dxa"/>
          </w:tcPr>
          <w:p>
            <w:pPr>
              <w:spacing w:line="260" w:lineRule="exact"/>
              <w:rPr>
                <w:rFonts w:ascii="宋体" w:hAnsi="宋体"/>
                <w:b/>
                <w:sz w:val="21"/>
                <w:szCs w:val="21"/>
              </w:rPr>
            </w:pPr>
            <w:bookmarkStart w:id="29" w:name="专业代码"/>
            <w:r>
              <w:rPr>
                <w:rFonts w:ascii="宋体" w:hAnsi="宋体"/>
                <w:b/>
                <w:sz w:val="21"/>
                <w:szCs w:val="21"/>
              </w:rPr>
              <w:t>14.02.02</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2022-09-09</w:t>
            </w:r>
          </w:p>
        </w:tc>
        <w:tc>
          <w:tcPr>
            <w:tcW w:w="145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87" w:type="dxa"/>
          </w:tcPr>
          <w:p>
            <w:pPr>
              <w:spacing w:line="260" w:lineRule="exact"/>
              <w:rPr>
                <w:rFonts w:ascii="宋体"/>
                <w:b/>
                <w:sz w:val="21"/>
              </w:rPr>
            </w:pPr>
            <w:r>
              <w:rPr>
                <w:rFonts w:hint="eastAsia" w:ascii="宋体" w:hAnsi="宋体"/>
                <w:b/>
                <w:sz w:val="21"/>
                <w:szCs w:val="21"/>
                <w:lang w:val="en-US" w:eastAsia="zh-CN"/>
              </w:rPr>
              <w:t>2019年09月07日</w:t>
            </w:r>
          </w:p>
        </w:tc>
      </w:tr>
    </w:tbl>
    <w:p>
      <w:pPr>
        <w:numPr>
          <w:ilvl w:val="0"/>
          <w:numId w:val="0"/>
        </w:num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09</w:t>
      </w:r>
      <w:r>
        <w:rPr>
          <w:rFonts w:hint="eastAsia" w:ascii="宋体" w:hAnsi="宋体"/>
          <w:b/>
          <w:sz w:val="21"/>
          <w:szCs w:val="21"/>
        </w:rPr>
        <w:t>月</w:t>
      </w:r>
      <w:r>
        <w:rPr>
          <w:rFonts w:hint="eastAsia" w:ascii="宋体" w:hAnsi="宋体"/>
          <w:b/>
          <w:sz w:val="21"/>
          <w:szCs w:val="21"/>
          <w:lang w:val="en-US" w:eastAsia="zh-CN"/>
        </w:rPr>
        <w:t>07</w:t>
      </w:r>
      <w:r>
        <w:rPr>
          <w:rFonts w:hint="eastAsia" w:ascii="宋体" w:hAnsi="宋体"/>
          <w:b/>
          <w:sz w:val="21"/>
          <w:szCs w:val="21"/>
        </w:rPr>
        <w:t>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04</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30" w:name="组织名称"/>
            <w:r>
              <w:rPr>
                <w:rFonts w:hint="eastAsia" w:ascii="宋体" w:hAnsi="宋体" w:cs="宋体"/>
                <w:sz w:val="21"/>
                <w:szCs w:val="21"/>
              </w:rPr>
              <w:t>广安渝强塑业有限责任公司</w:t>
            </w:r>
            <w:bookmarkEnd w:id="30"/>
            <w:r>
              <w:rPr>
                <w:rFonts w:hint="eastAsia" w:ascii="宋体" w:hAnsi="宋体" w:cs="宋体"/>
                <w:sz w:val="21"/>
                <w:szCs w:val="21"/>
              </w:rPr>
              <w:t>是一家专业从事</w:t>
            </w:r>
            <w:bookmarkStart w:id="31" w:name="审核范围"/>
            <w:r>
              <w:rPr>
                <w:rFonts w:hint="eastAsia" w:ascii="宋体" w:hAnsi="宋体" w:cs="宋体"/>
                <w:sz w:val="21"/>
                <w:szCs w:val="21"/>
              </w:rPr>
              <w:t>塑料编织袋的生产</w:t>
            </w:r>
            <w:bookmarkEnd w:id="31"/>
            <w:r>
              <w:rPr>
                <w:rFonts w:hint="eastAsia" w:ascii="宋体" w:hAnsi="宋体" w:cs="宋体"/>
                <w:sz w:val="21"/>
                <w:szCs w:val="21"/>
                <w:lang w:eastAsia="zh-CN"/>
              </w:rPr>
              <w:t>的企业</w:t>
            </w:r>
            <w:r>
              <w:rPr>
                <w:rFonts w:hint="eastAsia" w:ascii="宋体" w:hAnsi="宋体" w:cs="宋体"/>
                <w:sz w:val="21"/>
                <w:szCs w:val="21"/>
              </w:rPr>
              <w:t>。现有员工</w:t>
            </w:r>
            <w:r>
              <w:rPr>
                <w:rFonts w:hint="eastAsia" w:ascii="宋体" w:hAnsi="宋体" w:cs="宋体"/>
                <w:sz w:val="21"/>
                <w:szCs w:val="21"/>
                <w:lang w:val="en-US" w:eastAsia="zh-CN"/>
              </w:rPr>
              <w:t>45</w:t>
            </w:r>
            <w:r>
              <w:rPr>
                <w:rFonts w:hint="eastAsia" w:ascii="宋体" w:hAnsi="宋体" w:cs="宋体"/>
                <w:sz w:val="21"/>
                <w:szCs w:val="21"/>
              </w:rPr>
              <w:t>人，经营状况良好。组织对内外部因素、相关方需求和期望进行了充分的识别，策划和实施有效。确定了体系的边界，基本适用。管理体系不适用条款</w:t>
            </w:r>
            <w:r>
              <w:rPr>
                <w:rFonts w:hint="eastAsia" w:ascii="宋体" w:hAnsi="宋体" w:cs="宋体"/>
                <w:sz w:val="21"/>
                <w:szCs w:val="21"/>
                <w:lang w:eastAsia="zh-CN"/>
              </w:rPr>
              <w:t>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4"/>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质量为本、信誉至上，持续改进，争创一流，满足要求”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300" w:lineRule="exact"/>
              <w:ind w:left="0" w:leftChars="0" w:firstLine="0" w:firstLineChars="0"/>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pStyle w:val="3"/>
              <w:spacing w:line="240" w:lineRule="auto"/>
              <w:ind w:firstLine="0"/>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QMS范围：</w:t>
            </w:r>
            <w:r>
              <w:rPr>
                <w:rFonts w:hint="eastAsia" w:ascii="宋体" w:hAnsi="宋体" w:eastAsia="宋体" w:cs="Times New Roman"/>
                <w:b w:val="0"/>
                <w:bCs/>
                <w:kern w:val="2"/>
                <w:sz w:val="21"/>
                <w:szCs w:val="21"/>
                <w:lang w:val="en-US" w:eastAsia="zh-CN" w:bidi="ar-SA"/>
              </w:rPr>
              <w:t>塑料编织袋的生产</w:t>
            </w:r>
            <w:r>
              <w:rPr>
                <w:rFonts w:hint="eastAsia" w:ascii="宋体" w:hAnsi="宋体" w:eastAsia="宋体" w:cs="Times New Roman"/>
                <w:b/>
                <w:kern w:val="2"/>
                <w:sz w:val="21"/>
                <w:szCs w:val="21"/>
                <w:lang w:val="en-US" w:eastAsia="zh-CN" w:bidi="ar-SA"/>
              </w:rPr>
              <w:t xml:space="preserve"> </w:t>
            </w:r>
          </w:p>
          <w:p>
            <w:pPr>
              <w:tabs>
                <w:tab w:val="left" w:pos="540"/>
              </w:tabs>
              <w:spacing w:line="300" w:lineRule="exact"/>
              <w:ind w:left="211" w:hanging="211" w:hanging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质量管理体系过程有：</w:t>
            </w:r>
          </w:p>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val="0"/>
                <w:bCs/>
                <w:kern w:val="2"/>
                <w:sz w:val="21"/>
                <w:szCs w:val="21"/>
                <w:lang w:val="en-US" w:eastAsia="zh-CN" w:bidi="ar-SA"/>
              </w:rPr>
              <w:t>配料—拉丝¬—编织—印刷—缝制—检验—入库</w:t>
            </w:r>
          </w:p>
          <w:p>
            <w:pPr>
              <w:tabs>
                <w:tab w:val="left" w:pos="540"/>
              </w:tabs>
              <w:spacing w:line="300" w:lineRule="exact"/>
              <w:ind w:left="211" w:hanging="211" w:hangingChars="100"/>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kern w:val="2"/>
                <w:sz w:val="21"/>
                <w:szCs w:val="21"/>
                <w:lang w:val="en-US" w:eastAsia="zh-CN" w:bidi="ar-SA"/>
              </w:rPr>
              <w:t>需确认/特殊过程：</w:t>
            </w:r>
            <w:r>
              <w:rPr>
                <w:rFonts w:hint="eastAsia" w:ascii="宋体" w:hAnsi="宋体" w:eastAsia="宋体" w:cs="Times New Roman"/>
                <w:b w:val="0"/>
                <w:bCs/>
                <w:kern w:val="2"/>
                <w:sz w:val="21"/>
                <w:szCs w:val="21"/>
                <w:lang w:val="en-US" w:eastAsia="zh-CN" w:bidi="ar-SA"/>
              </w:rPr>
              <w:t>无</w:t>
            </w:r>
          </w:p>
          <w:p>
            <w:pPr>
              <w:tabs>
                <w:tab w:val="left" w:pos="540"/>
              </w:tabs>
              <w:spacing w:line="300" w:lineRule="exact"/>
              <w:ind w:left="211" w:hanging="211" w:hangingChars="100"/>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kern w:val="2"/>
                <w:sz w:val="21"/>
                <w:szCs w:val="21"/>
                <w:lang w:val="en-US" w:eastAsia="zh-CN" w:bidi="ar-SA"/>
              </w:rPr>
              <w:t>关键过程：</w:t>
            </w:r>
            <w:r>
              <w:rPr>
                <w:rFonts w:hint="eastAsia" w:ascii="宋体" w:hAnsi="宋体" w:eastAsia="宋体" w:cs="Times New Roman"/>
                <w:b w:val="0"/>
                <w:bCs/>
                <w:kern w:val="2"/>
                <w:sz w:val="21"/>
                <w:szCs w:val="21"/>
                <w:lang w:val="en-US" w:eastAsia="zh-CN" w:bidi="ar-SA"/>
              </w:rPr>
              <w:t>拉丝</w:t>
            </w:r>
          </w:p>
          <w:p>
            <w:pPr>
              <w:spacing w:line="360" w:lineRule="auto"/>
              <w:rPr>
                <w:rFonts w:hint="eastAsia" w:ascii="宋体" w:hAnsi="宋体"/>
                <w:b/>
                <w:sz w:val="21"/>
                <w:szCs w:val="21"/>
              </w:rPr>
            </w:pPr>
            <w:r>
              <w:rPr>
                <w:rFonts w:hint="eastAsia" w:ascii="宋体" w:hAnsi="宋体"/>
                <w:b/>
                <w:sz w:val="21"/>
                <w:szCs w:val="21"/>
                <w:lang w:eastAsia="zh-CN"/>
              </w:rPr>
              <w:t>不适用</w:t>
            </w:r>
            <w:r>
              <w:rPr>
                <w:rFonts w:hint="eastAsia" w:ascii="宋体" w:hAnsi="宋体"/>
                <w:b/>
                <w:sz w:val="21"/>
                <w:szCs w:val="21"/>
              </w:rPr>
              <w:t>条款是，</w:t>
            </w:r>
            <w:r>
              <w:rPr>
                <w:rFonts w:hint="eastAsia" w:ascii="宋体" w:hAnsi="宋体"/>
                <w:b w:val="0"/>
                <w:bCs/>
                <w:sz w:val="21"/>
                <w:szCs w:val="21"/>
                <w:lang w:val="en-US" w:eastAsia="zh-CN"/>
              </w:rPr>
              <w:t>8.3</w:t>
            </w:r>
            <w:r>
              <w:rPr>
                <w:rFonts w:hint="eastAsia" w:ascii="宋体" w:hAnsi="宋体"/>
                <w:b/>
                <w:sz w:val="21"/>
                <w:szCs w:val="21"/>
              </w:rPr>
              <w:t xml:space="preserve">  </w:t>
            </w:r>
          </w:p>
          <w:p>
            <w:pPr>
              <w:spacing w:line="360" w:lineRule="auto"/>
              <w:rPr>
                <w:rFonts w:ascii="宋体" w:hAnsi="宋体"/>
                <w:b/>
                <w:sz w:val="21"/>
                <w:szCs w:val="21"/>
              </w:rPr>
            </w:pPr>
            <w:r>
              <w:rPr>
                <w:rFonts w:hint="eastAsia" w:ascii="宋体" w:hAnsi="宋体"/>
                <w:b/>
                <w:sz w:val="21"/>
                <w:szCs w:val="21"/>
                <w:lang w:eastAsia="zh-CN"/>
              </w:rPr>
              <w:t>不适用</w:t>
            </w:r>
            <w:r>
              <w:rPr>
                <w:rFonts w:hint="eastAsia" w:ascii="宋体" w:hAnsi="宋体"/>
                <w:b/>
                <w:sz w:val="21"/>
                <w:szCs w:val="21"/>
              </w:rPr>
              <w:t>理由：</w:t>
            </w:r>
            <w:r>
              <w:rPr>
                <w:rFonts w:hint="eastAsia" w:ascii="宋体" w:hAnsi="宋体"/>
                <w:sz w:val="21"/>
                <w:szCs w:val="21"/>
              </w:rPr>
              <w:t>根据公司</w:t>
            </w:r>
            <w:r>
              <w:rPr>
                <w:rFonts w:hint="eastAsia" w:ascii="宋体" w:hAnsi="宋体"/>
                <w:sz w:val="21"/>
                <w:szCs w:val="21"/>
                <w:lang w:eastAsia="zh-CN"/>
              </w:rPr>
              <w:t>产品生产</w:t>
            </w:r>
            <w:r>
              <w:rPr>
                <w:rFonts w:hint="eastAsia" w:ascii="宋体" w:hAnsi="宋体"/>
                <w:sz w:val="21"/>
                <w:szCs w:val="21"/>
              </w:rPr>
              <w:t>特点,公司不提供设计新</w:t>
            </w:r>
            <w:r>
              <w:rPr>
                <w:rFonts w:hint="eastAsia" w:ascii="宋体" w:hAnsi="宋体"/>
                <w:sz w:val="21"/>
                <w:szCs w:val="21"/>
                <w:lang w:eastAsia="zh-CN"/>
              </w:rPr>
              <w:t>产品</w:t>
            </w:r>
            <w:r>
              <w:rPr>
                <w:rFonts w:hint="eastAsia" w:ascii="宋体" w:hAnsi="宋体"/>
                <w:sz w:val="21"/>
                <w:szCs w:val="21"/>
              </w:rPr>
              <w:t>的要求。本公司所</w:t>
            </w:r>
            <w:r>
              <w:rPr>
                <w:rFonts w:hint="eastAsia" w:ascii="宋体" w:hAnsi="宋体"/>
                <w:sz w:val="21"/>
                <w:szCs w:val="21"/>
                <w:lang w:eastAsia="zh-CN"/>
              </w:rPr>
              <w:t>生产</w:t>
            </w:r>
            <w:r>
              <w:rPr>
                <w:rFonts w:hint="eastAsia" w:ascii="宋体" w:hAnsi="宋体"/>
                <w:sz w:val="21"/>
                <w:szCs w:val="21"/>
              </w:rPr>
              <w:t>的产品按</w:t>
            </w:r>
            <w:r>
              <w:rPr>
                <w:rFonts w:hint="eastAsia" w:ascii="宋体" w:hAnsi="宋体"/>
                <w:sz w:val="21"/>
                <w:szCs w:val="21"/>
                <w:lang w:eastAsia="zh-CN"/>
              </w:rPr>
              <w:t>国家标准及</w:t>
            </w:r>
            <w:r>
              <w:rPr>
                <w:rFonts w:hint="eastAsia" w:ascii="宋体" w:hAnsi="宋体"/>
                <w:sz w:val="21"/>
                <w:szCs w:val="21"/>
              </w:rPr>
              <w:t>客户要求进行，</w:t>
            </w:r>
            <w:r>
              <w:rPr>
                <w:rFonts w:hint="eastAsia" w:ascii="宋体" w:hAnsi="宋体"/>
                <w:sz w:val="21"/>
                <w:szCs w:val="21"/>
                <w:lang w:eastAsia="zh-CN"/>
              </w:rPr>
              <w:t>产品及生产工艺成熟固定，</w:t>
            </w:r>
            <w:r>
              <w:rPr>
                <w:rFonts w:hint="eastAsia" w:ascii="宋体" w:hAnsi="宋体"/>
                <w:sz w:val="21"/>
                <w:szCs w:val="21"/>
              </w:rPr>
              <w:t>整个</w:t>
            </w:r>
            <w:r>
              <w:rPr>
                <w:rFonts w:hint="eastAsia" w:ascii="宋体" w:hAnsi="宋体"/>
                <w:sz w:val="21"/>
                <w:szCs w:val="21"/>
                <w:lang w:eastAsia="zh-CN"/>
              </w:rPr>
              <w:t>生产</w:t>
            </w:r>
            <w:r>
              <w:rPr>
                <w:rFonts w:hint="eastAsia" w:ascii="宋体" w:hAnsi="宋体"/>
                <w:sz w:val="21"/>
                <w:szCs w:val="21"/>
              </w:rPr>
              <w:t>经营过程不涉及设计开发的内容。8.3条款的不适用对确保产品和服务合格的能力和责任以及增强客户满意不会产生影响</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6"/>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6"/>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6"/>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9</w:t>
            </w:r>
            <w:r>
              <w:t xml:space="preserve">. </w:t>
            </w:r>
            <w:r>
              <w:rPr>
                <w:rFonts w:hint="eastAsia" w:ascii="宋体" w:hAnsi="宋体" w:eastAsia="宋体" w:cs="Times New Roman"/>
                <w:b/>
                <w:kern w:val="2"/>
                <w:sz w:val="21"/>
                <w:szCs w:val="21"/>
                <w:lang w:val="en-US" w:eastAsia="zh-CN" w:bidi="ar-SA"/>
              </w:rPr>
              <w:t>目标、方案</w:t>
            </w:r>
          </w:p>
          <w:p>
            <w:pPr>
              <w:spacing w:line="360" w:lineRule="auto"/>
              <w:rPr>
                <w:rFonts w:hint="eastAsia" w:ascii="宋体" w:hAnsi="宋体"/>
                <w:sz w:val="21"/>
                <w:szCs w:val="21"/>
                <w:lang w:eastAsia="zh-CN"/>
              </w:rPr>
            </w:pPr>
            <w:r>
              <w:rPr>
                <w:rFonts w:hint="eastAsia" w:ascii="宋体" w:hAnsi="宋体"/>
                <w:sz w:val="21"/>
                <w:szCs w:val="21"/>
                <w:lang w:eastAsia="zh-CN"/>
              </w:rPr>
              <w:t>在相关层次上建立可测量的目标，目标、方案的有效性，对质量目标的实现情况进行评价并叙述测量方法。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rPr>
                <w:rFonts w:hint="eastAsia" w:ascii="宋体" w:hAnsi="宋体"/>
                <w:sz w:val="21"/>
                <w:szCs w:val="21"/>
                <w:lang w:eastAsia="zh-CN"/>
              </w:rPr>
            </w:pPr>
            <w:r>
              <w:rPr>
                <w:rFonts w:hint="eastAsia" w:ascii="宋体" w:hAnsi="宋体"/>
                <w:sz w:val="21"/>
                <w:szCs w:val="21"/>
                <w:lang w:eastAsia="zh-CN"/>
              </w:rPr>
              <w:t>组织总质量目标：</w:t>
            </w:r>
          </w:p>
          <w:p>
            <w:pPr>
              <w:spacing w:line="360" w:lineRule="auto"/>
              <w:rPr>
                <w:rFonts w:hint="eastAsia" w:ascii="宋体" w:hAnsi="宋体"/>
                <w:sz w:val="21"/>
                <w:szCs w:val="21"/>
                <w:lang w:eastAsia="zh-CN"/>
              </w:rPr>
            </w:pPr>
            <w:r>
              <w:rPr>
                <w:rFonts w:hint="eastAsia" w:ascii="宋体" w:hAnsi="宋体"/>
                <w:sz w:val="21"/>
                <w:szCs w:val="21"/>
                <w:lang w:eastAsia="zh-CN"/>
              </w:rPr>
              <w:t>a、产品一次交验合格率不低于90%；</w:t>
            </w:r>
          </w:p>
          <w:p>
            <w:pPr>
              <w:spacing w:line="360" w:lineRule="auto"/>
              <w:rPr>
                <w:rFonts w:hint="eastAsia" w:ascii="宋体" w:hAnsi="宋体"/>
                <w:sz w:val="21"/>
                <w:szCs w:val="21"/>
                <w:lang w:eastAsia="zh-CN"/>
              </w:rPr>
            </w:pPr>
            <w:r>
              <w:rPr>
                <w:rFonts w:hint="eastAsia" w:ascii="宋体" w:hAnsi="宋体"/>
                <w:sz w:val="21"/>
                <w:szCs w:val="21"/>
                <w:lang w:eastAsia="zh-CN"/>
              </w:rPr>
              <w:t>b、履约率96%以上</w:t>
            </w:r>
          </w:p>
          <w:p>
            <w:pPr>
              <w:spacing w:line="360" w:lineRule="auto"/>
              <w:rPr>
                <w:rFonts w:hint="eastAsia" w:ascii="宋体" w:hAnsi="宋体"/>
                <w:sz w:val="21"/>
                <w:szCs w:val="21"/>
                <w:lang w:eastAsia="zh-CN"/>
              </w:rPr>
            </w:pPr>
            <w:r>
              <w:rPr>
                <w:rFonts w:hint="eastAsia" w:ascii="宋体" w:hAnsi="宋体"/>
                <w:sz w:val="21"/>
                <w:szCs w:val="21"/>
                <w:lang w:eastAsia="zh-CN"/>
              </w:rPr>
              <w:t>c、顾客满意率95%以上</w:t>
            </w:r>
          </w:p>
          <w:p>
            <w:pPr>
              <w:spacing w:line="24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color w:val="000000"/>
                <w:kern w:val="0"/>
                <w:sz w:val="21"/>
                <w:szCs w:val="21"/>
                <w:lang w:eastAsia="zh-CN"/>
              </w:rPr>
              <w:t>201</w:t>
            </w: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lang w:eastAsia="zh-CN"/>
              </w:rPr>
              <w:t>年0</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eastAsia="zh-CN"/>
              </w:rPr>
              <w:t>月</w:t>
            </w:r>
            <w:r>
              <w:rPr>
                <w:rFonts w:hint="eastAsia" w:ascii="宋体" w:hAnsi="宋体" w:cs="宋体"/>
                <w:color w:val="000000"/>
                <w:kern w:val="0"/>
                <w:sz w:val="21"/>
                <w:szCs w:val="21"/>
                <w:lang w:val="en-US" w:eastAsia="zh-CN"/>
              </w:rPr>
              <w:t>01</w:t>
            </w:r>
            <w:r>
              <w:rPr>
                <w:rFonts w:hint="eastAsia" w:ascii="宋体" w:hAnsi="宋体" w:eastAsia="宋体" w:cs="宋体"/>
                <w:color w:val="000000"/>
                <w:kern w:val="0"/>
                <w:sz w:val="21"/>
                <w:szCs w:val="21"/>
                <w:lang w:eastAsia="zh-CN"/>
              </w:rPr>
              <w:t>日</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sz w:val="21"/>
                <w:szCs w:val="21"/>
                <w:lang w:eastAsia="zh-CN"/>
              </w:rPr>
              <w:t>组织有满足产品生产需要的生产场地及办公经营场所，车间、库房按区域划分开</w:t>
            </w:r>
            <w:r>
              <w:rPr>
                <w:rFonts w:hint="eastAsia" w:ascii="宋体" w:hAnsi="宋体"/>
                <w:sz w:val="21"/>
                <w:szCs w:val="21"/>
                <w:lang w:eastAsia="zh-CN"/>
              </w:rPr>
              <w:t>。主要设备包括：真空拉丝机、覆膜机、圆织机、制袋机、裁剪机、印刷机、拌料机等，检测设备有：白度仪、电子强度机、电子天平、卷尺等，</w:t>
            </w:r>
            <w:r>
              <w:rPr>
                <w:rFonts w:hint="eastAsia" w:ascii="宋体" w:hAnsi="宋体"/>
                <w:sz w:val="21"/>
                <w:szCs w:val="21"/>
                <w:lang w:val="en-US" w:eastAsia="zh-CN"/>
              </w:rPr>
              <w:t>提供有效年检报告</w:t>
            </w:r>
            <w:r>
              <w:rPr>
                <w:rFonts w:hint="eastAsia" w:ascii="宋体" w:hAnsi="宋体"/>
                <w:sz w:val="21"/>
                <w:szCs w:val="21"/>
                <w:lang w:val="en-US" w:eastAsia="zh-CN"/>
              </w:rPr>
              <w:t>，</w:t>
            </w:r>
            <w:r>
              <w:rPr>
                <w:rFonts w:hint="eastAsia" w:ascii="宋体" w:hAnsi="宋体"/>
                <w:sz w:val="21"/>
                <w:szCs w:val="21"/>
                <w:lang w:eastAsia="zh-CN"/>
              </w:rPr>
              <w:t>可以满足产品生产及检验需要。生产部对设备按月方式进行点检维护保养，并实施。特种设备</w:t>
            </w:r>
            <w:r>
              <w:rPr>
                <w:rFonts w:hint="eastAsia" w:ascii="宋体" w:hAnsi="宋体"/>
                <w:sz w:val="21"/>
                <w:szCs w:val="21"/>
                <w:lang w:val="en-US" w:eastAsia="zh-CN"/>
              </w:rPr>
              <w:t>:</w:t>
            </w:r>
            <w:r>
              <w:rPr>
                <w:rFonts w:hint="eastAsia" w:ascii="宋体" w:hAnsi="宋体"/>
                <w:sz w:val="21"/>
                <w:szCs w:val="21"/>
                <w:lang w:eastAsia="zh-CN"/>
              </w:rPr>
              <w:t>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行政</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hint="default" w:ascii="宋体" w:hAnsi="宋体" w:eastAsia="宋体"/>
                <w:b/>
                <w:sz w:val="21"/>
                <w:szCs w:val="21"/>
                <w:lang w:val="en-US" w:eastAsia="zh-CN"/>
              </w:rPr>
            </w:pPr>
            <w:r>
              <w:rPr>
                <w:rFonts w:hint="eastAsia" w:ascii="宋体" w:hAnsi="宋体" w:cs="宋体"/>
                <w:sz w:val="21"/>
                <w:szCs w:val="21"/>
              </w:rPr>
              <w:t>查《计量器具</w:t>
            </w:r>
            <w:r>
              <w:rPr>
                <w:rFonts w:hint="eastAsia" w:ascii="宋体" w:hAnsi="宋体" w:cs="宋体"/>
                <w:sz w:val="21"/>
                <w:szCs w:val="21"/>
                <w:lang w:eastAsia="zh-CN"/>
              </w:rPr>
              <w:t>台账》，技术部门均按策划的要求配置了相应的检测设备用于产品的检测，监视测量设备有：白度仪、电子强度机、电子天平、卷尺等。抽查在用量具的校准证书,能提供有效的检定或校准证书</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cs="宋体"/>
                <w:color w:val="000000"/>
                <w:sz w:val="21"/>
                <w:szCs w:val="21"/>
                <w:lang w:eastAsia="zh-CN"/>
              </w:rPr>
              <w:t>拉丝</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1月</w:t>
            </w:r>
            <w:r>
              <w:rPr>
                <w:rFonts w:hint="eastAsia" w:ascii="宋体" w:hAnsi="宋体" w:cs="宋体"/>
                <w:color w:val="000000"/>
                <w:sz w:val="21"/>
                <w:szCs w:val="21"/>
              </w:rPr>
              <w:t>-202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03</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6"/>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03</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宋体" w:hAnsi="宋体"/>
                <w:b/>
                <w:sz w:val="21"/>
                <w:szCs w:val="21"/>
              </w:rPr>
            </w:pPr>
            <w:r>
              <w:rPr>
                <w:rFonts w:hint="eastAsia" w:ascii="宋体" w:hAnsi="宋体" w:cs="宋体"/>
                <w:color w:val="000000"/>
                <w:sz w:val="21"/>
                <w:szCs w:val="21"/>
                <w:lang w:eastAsia="zh-CN"/>
              </w:rPr>
              <w:t>建立有《内部审核控制程序》，规定了内审频次一年一次，本次内审时间： 2020年</w:t>
            </w:r>
            <w:r>
              <w:rPr>
                <w:rFonts w:hint="eastAsia" w:ascii="宋体" w:hAnsi="宋体" w:cs="宋体"/>
                <w:color w:val="000000"/>
                <w:sz w:val="21"/>
                <w:szCs w:val="21"/>
                <w:lang w:val="en-US" w:eastAsia="zh-CN"/>
              </w:rPr>
              <w:t>12</w:t>
            </w:r>
            <w:r>
              <w:rPr>
                <w:rFonts w:hint="eastAsia" w:ascii="宋体" w:hAnsi="宋体" w:cs="宋体"/>
                <w:color w:val="000000"/>
                <w:sz w:val="21"/>
                <w:szCs w:val="21"/>
                <w:lang w:eastAsia="zh-CN"/>
              </w:rPr>
              <w:t>月10日，拟定了审核实施表，明确了内审范围，内审人员经培训合格上岗，能力满足要求，未出现审核本部门情况，内审不符合项1项，涉及行政部</w:t>
            </w:r>
            <w:r>
              <w:rPr>
                <w:rFonts w:hint="eastAsia" w:ascii="宋体" w:hAnsi="宋体" w:cs="宋体"/>
                <w:color w:val="000000"/>
                <w:sz w:val="21"/>
                <w:szCs w:val="21"/>
                <w:lang w:val="en-US" w:eastAsia="zh-CN"/>
              </w:rPr>
              <w:t>7.2</w:t>
            </w:r>
            <w:r>
              <w:rPr>
                <w:rFonts w:hint="eastAsia" w:ascii="宋体" w:hAnsi="宋体" w:cs="宋体"/>
                <w:color w:val="000000"/>
                <w:sz w:val="21"/>
                <w:szCs w:val="21"/>
                <w:lang w:eastAsia="zh-CN"/>
              </w:rPr>
              <w:t>条款，</w:t>
            </w:r>
            <w:r>
              <w:rPr>
                <w:rFonts w:hint="eastAsia" w:ascii="宋体" w:hAnsi="宋体" w:cs="宋体"/>
                <w:color w:val="000000"/>
                <w:sz w:val="21"/>
                <w:szCs w:val="21"/>
                <w:lang w:val="en-US" w:eastAsia="zh-CN"/>
              </w:rPr>
              <w:t>不符合为</w:t>
            </w:r>
            <w:r>
              <w:rPr>
                <w:rFonts w:hint="eastAsia" w:ascii="宋体" w:hAnsi="宋体" w:cs="宋体"/>
                <w:color w:val="000000"/>
                <w:sz w:val="21"/>
                <w:szCs w:val="21"/>
                <w:lang w:val="zh-CN" w:eastAsia="zh-CN"/>
              </w:rPr>
              <w:t>培训评价记录管理方面，不符合</w:t>
            </w:r>
            <w:r>
              <w:rPr>
                <w:rFonts w:hint="eastAsia" w:ascii="宋体" w:hAnsi="宋体" w:cs="宋体"/>
                <w:color w:val="000000"/>
                <w:sz w:val="21"/>
                <w:szCs w:val="21"/>
                <w:lang w:val="en-US" w:eastAsia="zh-CN"/>
              </w:rPr>
              <w:t>事实描述为“</w:t>
            </w:r>
            <w:r>
              <w:rPr>
                <w:rFonts w:hint="eastAsia" w:ascii="宋体" w:hAnsi="宋体" w:cs="宋体"/>
                <w:color w:val="000000"/>
                <w:sz w:val="21"/>
                <w:szCs w:val="21"/>
                <w:lang w:val="zh-CN"/>
              </w:rPr>
              <w:t>抽查</w:t>
            </w:r>
            <w:r>
              <w:rPr>
                <w:rFonts w:hint="eastAsia" w:ascii="宋体" w:hAnsi="宋体" w:cs="宋体"/>
                <w:color w:val="000000"/>
                <w:sz w:val="21"/>
                <w:szCs w:val="21"/>
                <w:lang w:val="en-US" w:eastAsia="zh-CN"/>
              </w:rPr>
              <w:t>2020年8月对设备操作规程培训记录，未对该次培训进行有效性评价”</w:t>
            </w:r>
            <w:r>
              <w:rPr>
                <w:rFonts w:hint="eastAsia" w:ascii="宋体" w:hAnsi="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themeColor="text1"/>
                <w:sz w:val="21"/>
                <w:szCs w:val="21"/>
                <w:lang w:val="zh-CN" w:eastAsia="zh-CN"/>
              </w:rPr>
              <w:t>管理评审频次为一年一次、本次管理评审于2020年12月2</w:t>
            </w:r>
            <w:r>
              <w:rPr>
                <w:rFonts w:hint="eastAsia" w:ascii="宋体" w:hAnsi="宋体" w:cs="宋体"/>
                <w:color w:val="000000" w:themeColor="text1"/>
                <w:sz w:val="21"/>
                <w:szCs w:val="21"/>
                <w:lang w:val="en-US" w:eastAsia="zh-CN"/>
              </w:rPr>
              <w:t>5日</w:t>
            </w:r>
            <w:r>
              <w:rPr>
                <w:rFonts w:hint="eastAsia" w:ascii="宋体" w:hAnsi="宋体" w:eastAsia="宋体" w:cs="宋体"/>
                <w:color w:val="000000" w:themeColor="text1"/>
                <w:sz w:val="21"/>
                <w:szCs w:val="21"/>
                <w:lang w:val="zh-CN" w:eastAsia="zh-CN"/>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val="0"/>
                <w:bCs/>
                <w:sz w:val="21"/>
                <w:szCs w:val="21"/>
              </w:rPr>
              <w:t>上</w:t>
            </w:r>
            <w:r>
              <w:rPr>
                <w:rFonts w:hint="eastAsia"/>
                <w:b w:val="0"/>
                <w:bCs/>
                <w:szCs w:val="21"/>
              </w:rPr>
              <w:t>次不符合为</w:t>
            </w:r>
            <w:r>
              <w:rPr>
                <w:rFonts w:hint="eastAsia"/>
                <w:b w:val="0"/>
                <w:bCs/>
                <w:szCs w:val="21"/>
                <w:lang w:val="en-US" w:eastAsia="zh-CN"/>
              </w:rPr>
              <w:t>7.1.5</w:t>
            </w:r>
            <w:r>
              <w:rPr>
                <w:rFonts w:hint="eastAsia"/>
                <w:b w:val="0"/>
                <w:bCs/>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tabs>
          <w:tab w:val="left" w:pos="645"/>
        </w:tabs>
        <w:spacing w:beforeLines="50" w:afterLines="50" w:line="360" w:lineRule="exact"/>
        <w:rPr>
          <w:rFonts w:hint="eastAsia" w:eastAsia="宋体"/>
          <w:b/>
          <w:color w:val="000000" w:themeColor="text1"/>
          <w:sz w:val="26"/>
          <w:szCs w:val="26"/>
          <w14:textFill>
            <w14:solidFill>
              <w14:schemeClr w14:val="tx1"/>
            </w14:solidFill>
          </w14:textFill>
        </w:rPr>
      </w:pPr>
      <w:r>
        <w:rPr>
          <w:rFonts w:hint="eastAsia" w:eastAsia="宋体"/>
          <w:b/>
          <w:color w:val="000000" w:themeColor="text1"/>
          <w:sz w:val="26"/>
          <w:szCs w:val="26"/>
          <w14:textFill>
            <w14:solidFill>
              <w14:schemeClr w14:val="tx1"/>
            </w14:solidFill>
          </w14:textFill>
        </w:rPr>
        <w:t>本次审核Q共开具不符合项报告项：其中</w:t>
      </w:r>
      <w:r>
        <w:rPr>
          <w:rFonts w:hint="eastAsia" w:eastAsia="宋体"/>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eastAsia="宋体"/>
          <w:b/>
          <w:color w:val="000000" w:themeColor="text1"/>
          <w:sz w:val="26"/>
          <w:szCs w:val="26"/>
          <w14:textFill>
            <w14:solidFill>
              <w14:schemeClr w14:val="tx1"/>
            </w14:solidFill>
          </w14:textFill>
        </w:rPr>
        <w:t>严重不符合 0项，一般不符合 1项，观察项0项。不符合项分布在生产部 部门</w:t>
      </w:r>
      <w:r>
        <w:rPr>
          <w:rFonts w:hint="eastAsia"/>
          <w:b/>
          <w:color w:val="000000" w:themeColor="text1"/>
          <w:sz w:val="26"/>
          <w:szCs w:val="26"/>
          <w:lang w:val="en-US" w:eastAsia="zh-CN"/>
          <w14:textFill>
            <w14:solidFill>
              <w14:schemeClr w14:val="tx1"/>
            </w14:solidFill>
          </w14:textFill>
        </w:rPr>
        <w:t>8.5.2</w:t>
      </w:r>
      <w:r>
        <w:rPr>
          <w:rFonts w:hint="eastAsia" w:eastAsia="宋体"/>
          <w:b/>
          <w:color w:val="000000" w:themeColor="text1"/>
          <w:sz w:val="26"/>
          <w:szCs w:val="26"/>
          <w14:textFill>
            <w14:solidFill>
              <w14:schemeClr w14:val="tx1"/>
            </w14:solidFill>
          </w14:textFill>
        </w:rPr>
        <w:t>条款，见不符合项分布表。（Q/J/E/S分开填写）</w:t>
      </w: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cs="Times New Roman"/>
                <w:bCs/>
                <w:szCs w:val="24"/>
              </w:rPr>
            </w:pPr>
            <w:r>
              <w:rPr>
                <w:rFonts w:hint="eastAsia" w:ascii="微软雅黑" w:hAnsi="微软雅黑" w:eastAsia="微软雅黑"/>
                <w:bCs/>
                <w:szCs w:val="24"/>
              </w:rPr>
              <w:t>综上所述，审核组一致</w:t>
            </w:r>
            <w:r>
              <w:rPr>
                <w:rFonts w:hint="eastAsia" w:ascii="微软雅黑" w:hAnsi="微软雅黑" w:eastAsia="微软雅黑" w:cs="Times New Roman"/>
                <w:bCs/>
                <w:szCs w:val="24"/>
              </w:rPr>
              <w:t>认为，（广安渝强塑业有限责任公司）的质量管理体系适宜、充分、得到良好的实施和保持，体系运行持续有效。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1833245</wp:posOffset>
            </wp:positionH>
            <wp:positionV relativeFrom="paragraph">
              <wp:posOffset>210820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52" w:firstLineChars="250"/>
        <w:rPr>
          <w:b/>
          <w:sz w:val="21"/>
        </w:rPr>
      </w:pPr>
      <w:r>
        <w:rPr>
          <w:rFonts w:hint="eastAsia"/>
          <w:b/>
          <w:sz w:val="22"/>
          <w:szCs w:val="22"/>
        </w:rPr>
        <w:drawing>
          <wp:anchor distT="0" distB="0" distL="114300" distR="114300" simplePos="0" relativeHeight="251663360" behindDoc="0" locked="0" layoutInCell="1" allowOverlap="1">
            <wp:simplePos x="0" y="0"/>
            <wp:positionH relativeFrom="column">
              <wp:posOffset>1842770</wp:posOffset>
            </wp:positionH>
            <wp:positionV relativeFrom="paragraph">
              <wp:posOffset>199390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04</w:t>
      </w:r>
      <w:r>
        <w:rPr>
          <w:rFonts w:hint="eastAsia"/>
          <w:b/>
          <w:sz w:val="21"/>
        </w:rPr>
        <w:t>月</w:t>
      </w:r>
      <w:r>
        <w:rPr>
          <w:rFonts w:hint="eastAsia"/>
          <w:b/>
          <w:sz w:val="21"/>
          <w:lang w:val="en-US" w:eastAsia="zh-CN"/>
        </w:rPr>
        <w:t>10</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58" w:firstLineChars="343"/>
        <w:rPr>
          <w:b/>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1366520</wp:posOffset>
            </wp:positionH>
            <wp:positionV relativeFrom="paragraph">
              <wp:posOffset>13970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 xml:space="preserve">组长签字：                            </w:t>
      </w:r>
      <w:r>
        <w:rPr>
          <w:rFonts w:hint="eastAsia"/>
          <w:b/>
          <w:sz w:val="21"/>
          <w:szCs w:val="21"/>
          <w:lang w:val="en-US" w:eastAsia="zh-CN"/>
        </w:rPr>
        <w:t>2021</w:t>
      </w:r>
      <w:r>
        <w:rPr>
          <w:rFonts w:hint="eastAsia"/>
          <w:b/>
          <w:sz w:val="21"/>
          <w:szCs w:val="21"/>
        </w:rPr>
        <w:t xml:space="preserve">年 </w:t>
      </w:r>
      <w:r>
        <w:rPr>
          <w:rFonts w:hint="eastAsia"/>
          <w:b/>
          <w:sz w:val="21"/>
          <w:szCs w:val="21"/>
          <w:lang w:val="en-US" w:eastAsia="zh-CN"/>
        </w:rPr>
        <w:t>04</w:t>
      </w:r>
      <w:r>
        <w:rPr>
          <w:rFonts w:hint="eastAsia"/>
          <w:b/>
          <w:sz w:val="21"/>
          <w:szCs w:val="21"/>
        </w:rPr>
        <w:t xml:space="preserve">  月 </w:t>
      </w:r>
      <w:r>
        <w:rPr>
          <w:rFonts w:hint="eastAsia"/>
          <w:b/>
          <w:sz w:val="21"/>
          <w:szCs w:val="21"/>
          <w:lang w:val="en-US" w:eastAsia="zh-CN"/>
        </w:rPr>
        <w:t>12</w:t>
      </w:r>
      <w:bookmarkStart w:id="32" w:name="_GoBack"/>
      <w:bookmarkEnd w:id="32"/>
      <w:r>
        <w:rPr>
          <w:rFonts w:hint="eastAsia"/>
          <w:b/>
          <w:sz w:val="21"/>
          <w:szCs w:val="21"/>
        </w:rPr>
        <w:t xml:space="preserve">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1"/>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1"/>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b/>
          <w:bCs/>
          <w:kern w:val="24"/>
          <w:sz w:val="28"/>
          <w:szCs w:val="28"/>
        </w:rPr>
        <w:t>审核基于对可获得信息的抽样过程的免责声明</w:t>
      </w:r>
      <w:r>
        <w:rPr>
          <w:rFonts w:hint="eastAsia" w:ascii="方正仿宋简体" w:eastAsia="方正仿宋简体"/>
          <w:b/>
          <w:bCs/>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2050"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A8951AE4"/>
    <w:multiLevelType w:val="singleLevel"/>
    <w:tmpl w:val="A8951AE4"/>
    <w:lvl w:ilvl="0" w:tentative="0">
      <w:start w:val="1"/>
      <w:numFmt w:val="chineseCounting"/>
      <w:suff w:val="nothing"/>
      <w:lvlText w:val="%1、"/>
      <w:lvlJc w:val="left"/>
      <w:rPr>
        <w:rFonts w:hint="eastAsia"/>
      </w:rPr>
    </w:lvl>
  </w:abstractNum>
  <w:abstractNum w:abstractNumId="2">
    <w:nsid w:val="B067E2E0"/>
    <w:multiLevelType w:val="singleLevel"/>
    <w:tmpl w:val="B067E2E0"/>
    <w:lvl w:ilvl="0" w:tentative="0">
      <w:start w:val="6"/>
      <w:numFmt w:val="decimal"/>
      <w:suff w:val="space"/>
      <w:lvlText w:val="%1."/>
      <w:lvlJc w:val="left"/>
    </w:lvl>
  </w:abstractNum>
  <w:abstractNum w:abstractNumId="3">
    <w:nsid w:val="D8E44AD5"/>
    <w:multiLevelType w:val="singleLevel"/>
    <w:tmpl w:val="D8E44AD5"/>
    <w:lvl w:ilvl="0" w:tentative="0">
      <w:start w:val="3"/>
      <w:numFmt w:val="decimal"/>
      <w:lvlText w:val="%1."/>
      <w:lvlJc w:val="left"/>
      <w:pPr>
        <w:tabs>
          <w:tab w:val="left" w:pos="312"/>
        </w:tabs>
      </w:pPr>
    </w:lvl>
  </w:abstractNum>
  <w:abstractNum w:abstractNumId="4">
    <w:nsid w:val="FEB4ABD9"/>
    <w:multiLevelType w:val="singleLevel"/>
    <w:tmpl w:val="FEB4ABD9"/>
    <w:lvl w:ilvl="0" w:tentative="0">
      <w:start w:val="4"/>
      <w:numFmt w:val="chineseCounting"/>
      <w:suff w:val="nothing"/>
      <w:lvlText w:val="%1、"/>
      <w:lvlJc w:val="left"/>
      <w:rPr>
        <w:rFonts w:hint="eastAsia"/>
      </w:rPr>
    </w:lvl>
  </w:abstractNum>
  <w:abstractNum w:abstractNumId="5">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6">
    <w:nsid w:val="092805CD"/>
    <w:multiLevelType w:val="singleLevel"/>
    <w:tmpl w:val="092805CD"/>
    <w:lvl w:ilvl="0" w:tentative="0">
      <w:start w:val="2"/>
      <w:numFmt w:val="decimal"/>
      <w:lvlText w:val="%1."/>
      <w:lvlJc w:val="left"/>
      <w:pPr>
        <w:tabs>
          <w:tab w:val="left" w:pos="312"/>
        </w:tabs>
      </w:pPr>
    </w:lvl>
  </w:abstractNum>
  <w:abstractNum w:abstractNumId="7">
    <w:nsid w:val="1DDE20DE"/>
    <w:multiLevelType w:val="singleLevel"/>
    <w:tmpl w:val="1DDE20DE"/>
    <w:lvl w:ilvl="0" w:tentative="0">
      <w:start w:val="8"/>
      <w:numFmt w:val="decimal"/>
      <w:suff w:val="space"/>
      <w:lvlText w:val="%1."/>
      <w:lvlJc w:val="left"/>
    </w:lvl>
  </w:abstractNum>
  <w:abstractNum w:abstractNumId="8">
    <w:nsid w:val="1EEBFF49"/>
    <w:multiLevelType w:val="singleLevel"/>
    <w:tmpl w:val="1EEBFF49"/>
    <w:lvl w:ilvl="0" w:tentative="0">
      <w:start w:val="2"/>
      <w:numFmt w:val="decimal"/>
      <w:lvlText w:val="%1."/>
      <w:lvlJc w:val="left"/>
      <w:pPr>
        <w:tabs>
          <w:tab w:val="left" w:pos="312"/>
        </w:tabs>
      </w:pPr>
    </w:lvl>
  </w:abstractNum>
  <w:abstractNum w:abstractNumId="9">
    <w:nsid w:val="45014024"/>
    <w:multiLevelType w:val="singleLevel"/>
    <w:tmpl w:val="45014024"/>
    <w:lvl w:ilvl="0" w:tentative="0">
      <w:start w:val="8"/>
      <w:numFmt w:val="decimal"/>
      <w:lvlText w:val="%1."/>
      <w:lvlJc w:val="left"/>
      <w:pPr>
        <w:tabs>
          <w:tab w:val="left" w:pos="312"/>
        </w:tabs>
      </w:pPr>
    </w:lvl>
  </w:abstractNum>
  <w:abstractNum w:abstractNumId="10">
    <w:nsid w:val="688C3EB5"/>
    <w:multiLevelType w:val="singleLevel"/>
    <w:tmpl w:val="688C3EB5"/>
    <w:lvl w:ilvl="0" w:tentative="0">
      <w:start w:val="2"/>
      <w:numFmt w:val="decimal"/>
      <w:suff w:val="nothing"/>
      <w:lvlText w:val="%1、"/>
      <w:lvlJc w:val="left"/>
    </w:lvl>
  </w:abstractNum>
  <w:num w:numId="1">
    <w:abstractNumId w:val="1"/>
  </w:num>
  <w:num w:numId="2">
    <w:abstractNumId w:val="4"/>
  </w:num>
  <w:num w:numId="3">
    <w:abstractNumId w:val="10"/>
  </w:num>
  <w:num w:numId="4">
    <w:abstractNumId w:val="3"/>
  </w:num>
  <w:num w:numId="5">
    <w:abstractNumId w:val="7"/>
  </w:num>
  <w:num w:numId="6">
    <w:abstractNumId w:val="8"/>
  </w:num>
  <w:num w:numId="7">
    <w:abstractNumId w:val="2"/>
  </w:num>
  <w:num w:numId="8">
    <w:abstractNumId w:val="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627C38"/>
    <w:rsid w:val="00E82742"/>
    <w:rsid w:val="015E2D01"/>
    <w:rsid w:val="01984CC6"/>
    <w:rsid w:val="03560A05"/>
    <w:rsid w:val="03FB78DD"/>
    <w:rsid w:val="057404BA"/>
    <w:rsid w:val="0667214C"/>
    <w:rsid w:val="069E28A0"/>
    <w:rsid w:val="0724147A"/>
    <w:rsid w:val="0810189E"/>
    <w:rsid w:val="08DB7E61"/>
    <w:rsid w:val="08F1033E"/>
    <w:rsid w:val="0A6E7117"/>
    <w:rsid w:val="0BC00547"/>
    <w:rsid w:val="0BC042EC"/>
    <w:rsid w:val="0C094196"/>
    <w:rsid w:val="0D3A5F41"/>
    <w:rsid w:val="0D5461B6"/>
    <w:rsid w:val="0DF53453"/>
    <w:rsid w:val="0E5F756F"/>
    <w:rsid w:val="0F402042"/>
    <w:rsid w:val="1263390E"/>
    <w:rsid w:val="180C639A"/>
    <w:rsid w:val="18281CC2"/>
    <w:rsid w:val="195352A3"/>
    <w:rsid w:val="19DB242E"/>
    <w:rsid w:val="1D517685"/>
    <w:rsid w:val="1ED315F2"/>
    <w:rsid w:val="1F233878"/>
    <w:rsid w:val="20BE436D"/>
    <w:rsid w:val="21C05192"/>
    <w:rsid w:val="24282D23"/>
    <w:rsid w:val="260A7FDA"/>
    <w:rsid w:val="264D71CE"/>
    <w:rsid w:val="27FF0507"/>
    <w:rsid w:val="293D518D"/>
    <w:rsid w:val="29E80627"/>
    <w:rsid w:val="2A814084"/>
    <w:rsid w:val="2D0471C3"/>
    <w:rsid w:val="2D1334E8"/>
    <w:rsid w:val="2D180AAA"/>
    <w:rsid w:val="2D673A86"/>
    <w:rsid w:val="2E3F4286"/>
    <w:rsid w:val="2F1F4A9A"/>
    <w:rsid w:val="2F4D67D5"/>
    <w:rsid w:val="2F91342F"/>
    <w:rsid w:val="2FC13290"/>
    <w:rsid w:val="36B434E6"/>
    <w:rsid w:val="37EA3A00"/>
    <w:rsid w:val="3990793A"/>
    <w:rsid w:val="3A141D11"/>
    <w:rsid w:val="3B7174F7"/>
    <w:rsid w:val="3DB513EF"/>
    <w:rsid w:val="3EB6752F"/>
    <w:rsid w:val="3EF05A51"/>
    <w:rsid w:val="3FED2684"/>
    <w:rsid w:val="4058278A"/>
    <w:rsid w:val="40A22B45"/>
    <w:rsid w:val="41203F88"/>
    <w:rsid w:val="429820EC"/>
    <w:rsid w:val="435F2C87"/>
    <w:rsid w:val="45891498"/>
    <w:rsid w:val="45F53D80"/>
    <w:rsid w:val="471C2C44"/>
    <w:rsid w:val="480C4A92"/>
    <w:rsid w:val="48CA1CE6"/>
    <w:rsid w:val="49923A0A"/>
    <w:rsid w:val="4A453848"/>
    <w:rsid w:val="4B191BE9"/>
    <w:rsid w:val="4B220ED1"/>
    <w:rsid w:val="4C7C2794"/>
    <w:rsid w:val="4CC443A4"/>
    <w:rsid w:val="4DC61C31"/>
    <w:rsid w:val="4E094C99"/>
    <w:rsid w:val="4E3B70CE"/>
    <w:rsid w:val="4EA23571"/>
    <w:rsid w:val="4F071274"/>
    <w:rsid w:val="50E2368E"/>
    <w:rsid w:val="52530484"/>
    <w:rsid w:val="52832D42"/>
    <w:rsid w:val="53C651CA"/>
    <w:rsid w:val="53D9250D"/>
    <w:rsid w:val="563C656F"/>
    <w:rsid w:val="56792FB9"/>
    <w:rsid w:val="56EB305C"/>
    <w:rsid w:val="58C21D1B"/>
    <w:rsid w:val="5A865E3C"/>
    <w:rsid w:val="5CB75ECB"/>
    <w:rsid w:val="5E6D2417"/>
    <w:rsid w:val="610C5530"/>
    <w:rsid w:val="61B12954"/>
    <w:rsid w:val="641D4A52"/>
    <w:rsid w:val="65AA6E79"/>
    <w:rsid w:val="66E7630B"/>
    <w:rsid w:val="67273BC0"/>
    <w:rsid w:val="6D195F84"/>
    <w:rsid w:val="6FB3580C"/>
    <w:rsid w:val="715D3B97"/>
    <w:rsid w:val="717D0106"/>
    <w:rsid w:val="72755D49"/>
    <w:rsid w:val="75A77E6E"/>
    <w:rsid w:val="75C76F81"/>
    <w:rsid w:val="766E607C"/>
    <w:rsid w:val="77023F9C"/>
    <w:rsid w:val="7BD80443"/>
    <w:rsid w:val="7C086ECF"/>
    <w:rsid w:val="7CEC40A8"/>
    <w:rsid w:val="7DB21D88"/>
    <w:rsid w:val="7DD340F0"/>
    <w:rsid w:val="7F84339D"/>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2"/>
    <w:semiHidden/>
    <w:qFormat/>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locked/>
    <w:uiPriority w:val="20"/>
    <w:rPr>
      <w:i/>
      <w:iCs/>
    </w:rPr>
  </w:style>
  <w:style w:type="character" w:styleId="11">
    <w:name w:val="Hyperlink"/>
    <w:basedOn w:val="9"/>
    <w:semiHidden/>
    <w:unhideWhenUsed/>
    <w:qFormat/>
    <w:uiPriority w:val="99"/>
    <w:rPr>
      <w:color w:val="0000FF"/>
      <w:u w:val="single"/>
    </w:rPr>
  </w:style>
  <w:style w:type="character" w:customStyle="1" w:styleId="12">
    <w:name w:val="批注框文本 Char"/>
    <w:link w:val="4"/>
    <w:semiHidden/>
    <w:qFormat/>
    <w:locked/>
    <w:uiPriority w:val="99"/>
    <w:rPr>
      <w:rFonts w:ascii="Times New Roman" w:hAnsi="Times New Roman" w:eastAsia="宋体" w:cs="Times New Roman"/>
      <w:sz w:val="18"/>
      <w:szCs w:val="18"/>
    </w:rPr>
  </w:style>
  <w:style w:type="character" w:customStyle="1" w:styleId="13">
    <w:name w:val="页脚 Char"/>
    <w:link w:val="5"/>
    <w:semiHidden/>
    <w:qFormat/>
    <w:locked/>
    <w:uiPriority w:val="99"/>
    <w:rPr>
      <w:rFonts w:ascii="Times New Roman" w:hAnsi="Times New Roman" w:eastAsia="宋体" w:cs="Times New Roman"/>
      <w:sz w:val="18"/>
      <w:szCs w:val="18"/>
    </w:rPr>
  </w:style>
  <w:style w:type="character" w:customStyle="1" w:styleId="14">
    <w:name w:val="页眉 Char"/>
    <w:link w:val="6"/>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3</TotalTime>
  <ScaleCrop>false</ScaleCrop>
  <LinksUpToDate>false</LinksUpToDate>
  <CharactersWithSpaces>7960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2021-04-10T06:22:13Z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5843736922DE4F17BB7C61DAD72DA693</vt:lpwstr>
  </property>
</Properties>
</file>