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北京澹洋科技有限公司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val="en-US" w:eastAsia="zh-CN"/>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北京澹洋科技有限公司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北京市房山区书院南街12号院2号楼9层927</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102400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北京市房山区大件路燕山石化动力厂对面</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102400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周家仪</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17501121789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010-89332058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杨晓波</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周立博</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Q：化工原料（合成树脂、合成橡胶、橡塑改性材料）（不含危险品）、木制品的销售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E：化工原料（合成树脂、合成橡胶、橡塑改性材料）（不含危险品）、木制品的销售所涉及场所的相关环境管理活动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O：化工原料（合成树脂、合成橡胶、橡塑改性材料）（不含危险品）、木制品的销售所涉及场所的相关职业健康安全管理活动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2020-05-12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管理层</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/9.1</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综合部</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7.1.3/</w:t>
            </w:r>
            <w:r>
              <w:rPr>
                <w:rFonts w:hint="default" w:ascii="Times New Roman" w:hAnsi="Times New Roman" w:eastAsia="宋体" w:cs="Times New Roman"/>
                <w:sz w:val="21"/>
                <w:szCs w:val="21"/>
              </w:rPr>
              <w:t>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7.5/</w:t>
            </w:r>
            <w:r>
              <w:rPr>
                <w:rFonts w:hint="eastAsia" w:ascii="Times New Roman" w:hAnsi="Times New Roman" w:eastAsia="宋体" w:cs="Times New Roman"/>
                <w:sz w:val="21"/>
                <w:szCs w:val="21"/>
                <w:lang w:val="en-US" w:eastAsia="zh-CN"/>
              </w:rPr>
              <w:t>8.4</w:t>
            </w:r>
            <w:r>
              <w:rPr>
                <w:rFonts w:hint="eastAsia" w:ascii="Times New Roman" w:hAnsi="Times New Roman" w:cs="Times New Roman"/>
                <w:sz w:val="21"/>
                <w:szCs w:val="21"/>
                <w:lang w:val="en-US" w:eastAsia="zh-CN"/>
              </w:rPr>
              <w:t>/9.1.1/9.1.3/</w:t>
            </w:r>
            <w:r>
              <w:rPr>
                <w:rFonts w:hint="default" w:ascii="Times New Roman" w:hAnsi="Times New Roman" w:eastAsia="宋体" w:cs="Times New Roman"/>
                <w:sz w:val="21"/>
                <w:szCs w:val="21"/>
              </w:rPr>
              <w:t>9.</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cs="Times New Roman"/>
                <w:sz w:val="21"/>
                <w:szCs w:val="21"/>
                <w:lang w:val="en-US" w:eastAsia="zh-CN"/>
              </w:rPr>
              <w:t>10.2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销售部</w:t>
            </w:r>
          </w:p>
        </w:tc>
        <w:tc>
          <w:tcPr>
            <w:tcW w:w="68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Q5.3/6.2/7.1.5/8.1/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hint="eastAsia" w:ascii="宋体" w:hAnsi="宋体" w:eastAsia="宋体"/>
                <w:b/>
                <w:color w:val="000000" w:themeColor="text1"/>
                <w:szCs w:val="21"/>
                <w:lang w:val="en-US" w:eastAsia="zh-CN"/>
              </w:rPr>
            </w:pPr>
            <w:r>
              <w:rPr>
                <w:rFonts w:hint="eastAsia" w:ascii="宋体" w:hAnsi="宋体"/>
                <w:b/>
                <w:color w:val="000000" w:themeColor="text1"/>
                <w:szCs w:val="21"/>
                <w:lang w:val="en-US" w:eastAsia="zh-CN"/>
              </w:rPr>
              <w:t>/</w:t>
            </w: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化工原料（合成树脂、合成橡胶、橡塑改性材料）（不含危险品）、木制品的销售</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销售</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12</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rFonts w:hint="eastAsia"/>
                <w:b/>
                <w:color w:val="000000" w:themeColor="text1"/>
                <w:sz w:val="20"/>
                <w:szCs w:val="20"/>
                <w:lang w:val="en-US" w:eastAsia="zh-CN"/>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相关方需求和期望识别情况</w:t>
            </w:r>
          </w:p>
          <w:p>
            <w:pPr>
              <w:numPr>
                <w:ilvl w:val="0"/>
                <w:numId w:val="0"/>
              </w:numPr>
              <w:spacing w:line="240" w:lineRule="exact"/>
              <w:rPr>
                <w:b/>
                <w:color w:val="000000" w:themeColor="text1"/>
                <w:sz w:val="20"/>
                <w:szCs w:val="20"/>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lang w:val="en-US" w:eastAsia="zh-CN"/>
              </w:rPr>
              <w:t>环境安全</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80" w:lineRule="exact"/>
              <w:rPr>
                <w:rFonts w:hint="eastAsia" w:ascii="宋体" w:hAnsi="宋体"/>
                <w:b/>
                <w:color w:val="000000" w:themeColor="text1"/>
                <w:sz w:val="20"/>
                <w:szCs w:val="20"/>
              </w:rPr>
            </w:pPr>
            <w:r>
              <w:rPr>
                <w:rFonts w:hint="eastAsia"/>
                <w:b/>
                <w:color w:val="000000" w:themeColor="text1"/>
                <w:spacing w:val="-10"/>
                <w:sz w:val="20"/>
                <w:szCs w:val="20"/>
                <w:lang w:val="en-US" w:eastAsia="zh-CN"/>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40" w:lineRule="exact"/>
              <w:rPr>
                <w:rFonts w:hint="eastAsia" w:ascii="Times New Roman" w:hAnsi="Times New Roman" w:eastAsia="宋体" w:cs="Times New Roman"/>
                <w:lang w:val="en-US" w:eastAsia="zh-CN"/>
              </w:rPr>
            </w:pPr>
            <w:r>
              <w:rPr>
                <w:rFonts w:hint="eastAsia" w:ascii="Times New Roman" w:hAnsi="Times New Roman" w:eastAsia="宋体" w:cs="Times New Roman"/>
              </w:rPr>
              <w:t>质量/环境/职业健康安全方针</w:t>
            </w:r>
          </w:p>
          <w:p>
            <w:pPr>
              <w:numPr>
                <w:ilvl w:val="0"/>
                <w:numId w:val="0"/>
              </w:numPr>
              <w:spacing w:line="280" w:lineRule="exac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遵循环境法规，立足污染预防，追求节能低碳，创建环保品牌；</w:t>
            </w:r>
          </w:p>
          <w:p>
            <w:pPr>
              <w:pStyle w:val="3"/>
              <w:spacing w:line="420" w:lineRule="exact"/>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倡导以人为本，关爱员工健康，和谐持续发展，彰显社会责任。</w:t>
            </w:r>
          </w:p>
          <w:p>
            <w:pPr>
              <w:keepNext w:val="0"/>
              <w:keepLines w:val="0"/>
              <w:pageBreakBefore w:val="0"/>
              <w:kinsoku/>
              <w:wordWrap/>
              <w:overflowPunct/>
              <w:topLinePunct w:val="0"/>
              <w:bidi w:val="0"/>
              <w:snapToGrid/>
              <w:spacing w:line="360" w:lineRule="exact"/>
              <w:textAlignment w:val="auto"/>
            </w:pPr>
            <w:r>
              <w:rPr>
                <w:rFonts w:hint="eastAsia" w:cs="宋体"/>
              </w:rPr>
              <w:t>管理方针与企业的经营宗旨相适应，协调；</w:t>
            </w:r>
          </w:p>
          <w:p>
            <w:pPr>
              <w:spacing w:line="240" w:lineRule="exact"/>
              <w:rPr>
                <w:b/>
                <w:color w:val="000000" w:themeColor="text1"/>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rPr>
                <w:b/>
                <w:color w:val="000000" w:themeColor="text1"/>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w:t>
            </w:r>
            <w:r>
              <w:rPr>
                <w:rFonts w:hint="eastAsia"/>
                <w:lang w:eastAsia="zh-CN"/>
              </w:rPr>
              <w:t>针对顾客需求的变更</w:t>
            </w:r>
            <w:r>
              <w:rPr>
                <w:rFonts w:hint="eastAsia"/>
              </w:rPr>
              <w:t>，由</w:t>
            </w:r>
            <w:r>
              <w:rPr>
                <w:rFonts w:hint="eastAsia"/>
                <w:lang w:eastAsia="zh-CN"/>
              </w:rPr>
              <w:t>销售部紧密与客户沟通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w:t>
            </w:r>
            <w:r>
              <w:rPr>
                <w:rFonts w:hint="eastAsia" w:ascii="宋体" w:hAnsi="宋体"/>
                <w:b w:val="0"/>
                <w:bCs/>
                <w:color w:val="000000" w:themeColor="text1"/>
                <w:sz w:val="20"/>
                <w:szCs w:val="20"/>
                <w:u w:val="none"/>
                <w:lang w:val="en-US" w:eastAsia="zh-CN"/>
              </w:rPr>
              <w:t>销售服务</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w:t>
            </w:r>
            <w:r>
              <w:rPr>
                <w:rFonts w:hint="eastAsia" w:ascii="宋体" w:hAnsi="宋体"/>
                <w:b w:val="0"/>
                <w:bCs/>
                <w:color w:val="000000" w:themeColor="text1"/>
                <w:sz w:val="20"/>
                <w:szCs w:val="20"/>
                <w:u w:val="none"/>
                <w:lang w:val="en-US" w:eastAsia="zh-CN"/>
              </w:rPr>
              <w:t>销售服务</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eastAsia="宋体"/>
                <w:szCs w:val="22"/>
                <w:lang w:val="en-US" w:eastAsia="zh-CN"/>
              </w:rPr>
              <w:t>因公司所销售的产品，按照国家标准及顾客的要求进行</w:t>
            </w:r>
            <w:r>
              <w:rPr>
                <w:rFonts w:hint="eastAsia" w:eastAsia="宋体"/>
                <w:szCs w:val="22"/>
                <w:u w:val="single"/>
                <w:lang w:val="en-US" w:eastAsia="zh-CN"/>
              </w:rPr>
              <w:t>，该条款的不适用,不影响组织确保其产品和服务合格的能力和责任，也不会对增强顾客满意产生影响。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综合部组织全体部门对所涉及的环境因素进行识别，并评价出重要环境因素，提供环境因素评价记录，目前环境因素识别基本完整，评价的重要环境因素</w:t>
            </w:r>
            <w:r>
              <w:rPr>
                <w:rFonts w:hint="default" w:ascii="Times New Roman" w:hAnsi="Times New Roman" w:cs="Times New Roman"/>
                <w:sz w:val="21"/>
                <w:szCs w:val="21"/>
                <w:highlight w:val="none"/>
              </w:rPr>
              <w:t>潜在火灾</w:t>
            </w:r>
            <w:r>
              <w:rPr>
                <w:rFonts w:hint="eastAsia" w:ascii="Times New Roman" w:hAnsi="Times New Roman" w:cs="Times New Roman"/>
                <w:sz w:val="21"/>
                <w:szCs w:val="21"/>
                <w:highlight w:val="none"/>
                <w:lang w:val="en-US" w:eastAsia="zh-CN"/>
              </w:rPr>
              <w:t>发生</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固体废弃物</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ascii="宋体" w:hAnsi="宋体"/>
                <w:sz w:val="21"/>
                <w:szCs w:val="21"/>
                <w:lang w:val="en-US" w:eastAsia="zh-CN"/>
              </w:rPr>
              <w:t>综合部组织</w:t>
            </w:r>
            <w:r>
              <w:rPr>
                <w:rFonts w:hint="eastAsia" w:ascii="宋体" w:hAnsi="宋体"/>
                <w:color w:val="auto"/>
                <w:sz w:val="21"/>
                <w:szCs w:val="21"/>
                <w:lang w:val="en-US" w:eastAsia="zh-CN"/>
              </w:rPr>
              <w:t>全体部门所涉及的危险源进行识别，并评价出重大危险源，提供重大危险源评价记录，目前危险源识别基本完整，评价的</w:t>
            </w:r>
            <w:r>
              <w:rPr>
                <w:rFonts w:hint="eastAsia"/>
                <w:color w:val="auto"/>
              </w:rPr>
              <w:t>不可接受风险</w:t>
            </w:r>
            <w:r>
              <w:rPr>
                <w:rFonts w:hint="eastAsia"/>
                <w:color w:val="auto"/>
                <w:lang w:eastAsia="zh-CN"/>
              </w:rPr>
              <w:t>为</w:t>
            </w:r>
            <w:r>
              <w:rPr>
                <w:rFonts w:hint="eastAsia"/>
                <w:szCs w:val="22"/>
                <w:lang w:val="en-US" w:eastAsia="zh-CN"/>
              </w:rPr>
              <w:t>火灾、交通事故、触电、人身伤害、化学产品中毒</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管理目标： 1）销售产品合格率98%；2）产品交付及时率98%；3）合同评审率100%；4）顾客满意率95%以上；5)固体废弃物100%分类，合理处理；6）环境污染事故发生率为零；7）各类重伤以上事故发生率为零； 8）火灾事故发生率为零。</w:t>
            </w:r>
          </w:p>
          <w:p>
            <w:pPr>
              <w:spacing w:line="240" w:lineRule="exact"/>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w:t>
            </w:r>
            <w:r>
              <w:rPr>
                <w:rFonts w:hint="eastAsia" w:ascii="Times New Roman" w:hAnsi="Times New Roman" w:cs="宋体"/>
                <w:lang w:eastAsia="zh-CN"/>
              </w:rPr>
              <w:t>每</w:t>
            </w:r>
            <w:r>
              <w:rPr>
                <w:rFonts w:hint="eastAsia" w:ascii="Times New Roman" w:hAnsi="Times New Roman" w:cs="宋体"/>
                <w:lang w:val="en-US" w:eastAsia="zh-CN"/>
              </w:rPr>
              <w:t>三个月</w:t>
            </w:r>
            <w:r>
              <w:rPr>
                <w:rFonts w:hint="eastAsia" w:ascii="Times New Roman" w:hAnsi="Times New Roman" w:cs="宋体"/>
              </w:rPr>
              <w:t>考核一次，</w:t>
            </w:r>
            <w:r>
              <w:rPr>
                <w:rFonts w:hint="eastAsia" w:ascii="Times New Roman" w:hAnsi="Times New Roman" w:cs="宋体"/>
                <w:lang w:val="en-US" w:eastAsia="zh-CN"/>
              </w:rPr>
              <w:t>查看2020年7-9月各部门目标考核记录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管理体系文件由</w:t>
            </w:r>
            <w:r>
              <w:rPr>
                <w:rFonts w:hint="eastAsia" w:cs="宋体"/>
                <w:lang w:val="en-US" w:eastAsia="zh-CN"/>
              </w:rPr>
              <w:t>综合部</w:t>
            </w:r>
            <w:r>
              <w:rPr>
                <w:rFonts w:hint="eastAsia" w:ascii="Times New Roman" w:hAnsi="Times New Roman" w:cs="宋体"/>
              </w:rPr>
              <w:t>组织编写，总经理批准发布实施，</w:t>
            </w:r>
            <w:r>
              <w:rPr>
                <w:rFonts w:hint="eastAsia" w:cs="宋体"/>
                <w:lang w:val="en-US" w:eastAsia="zh-CN"/>
              </w:rPr>
              <w:t>综合部</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val="en-US" w:eastAsia="zh-CN"/>
              </w:rPr>
              <w:t>综合部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val="en-US" w:eastAsia="zh-CN"/>
              </w:rPr>
              <w:t>综合部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12</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电脑、一体机、电话、货架等办公及仓储设备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sz w:val="21"/>
                <w:szCs w:val="21"/>
                <w:lang w:val="en-US" w:eastAsia="zh-CN"/>
              </w:rPr>
              <w:t>公司经营店</w:t>
            </w:r>
            <w:r>
              <w:rPr>
                <w:rFonts w:hint="eastAsia" w:ascii="Times New Roman" w:hAnsi="Times New Roman" w:eastAsia="宋体" w:cs="宋体"/>
                <w:lang w:val="en-US" w:eastAsia="zh-CN"/>
              </w:rPr>
              <w:t>址：</w:t>
            </w:r>
            <w:r>
              <w:rPr>
                <w:rFonts w:hint="eastAsia" w:ascii="Times New Roman" w:hAnsi="Times New Roman" w:eastAsia="宋体" w:cs="Times New Roman"/>
                <w:sz w:val="21"/>
                <w:szCs w:val="21"/>
                <w:lang w:val="en-US" w:eastAsia="zh-CN"/>
              </w:rPr>
              <w:t>北京市房山区大件路燕山石化动力厂对面；办公</w:t>
            </w:r>
            <w:r>
              <w:rPr>
                <w:rFonts w:hint="eastAsia" w:ascii="Times New Roman" w:hAnsi="Times New Roman" w:eastAsia="宋体" w:cs="宋体"/>
                <w:lang w:eastAsia="zh-CN"/>
              </w:rPr>
              <w:t>区域布局合理，场所卫生干净整洁，工作环境良好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tabs>
                <w:tab w:val="left" w:pos="540"/>
              </w:tabs>
              <w:spacing w:line="240" w:lineRule="exact"/>
              <w:rPr>
                <w:rFonts w:hint="eastAsia" w:ascii="Times New Roman" w:hAnsi="Times New Roman" w:eastAsia="宋体" w:cs="宋体"/>
              </w:rPr>
            </w:pPr>
            <w:r>
              <w:rPr>
                <w:rFonts w:hint="eastAsia" w:ascii="Times New Roman" w:hAnsi="Times New Roman" w:eastAsia="宋体" w:cs="宋体"/>
              </w:rPr>
              <w:t>公司对法律法规及其他要求进行了获取，</w:t>
            </w:r>
            <w:r>
              <w:rPr>
                <w:rFonts w:hint="default" w:ascii="Times New Roman" w:hAnsi="Times New Roman" w:eastAsia="宋体" w:cs="宋体"/>
                <w:lang w:eastAsia="zh-CN"/>
              </w:rPr>
              <w:t>包括</w:t>
            </w:r>
            <w:r>
              <w:rPr>
                <w:rFonts w:hint="eastAsia" w:ascii="Times New Roman" w:hAnsi="Times New Roman" w:eastAsia="宋体" w:cs="宋体"/>
                <w:lang w:val="en-US" w:eastAsia="zh-CN"/>
              </w:rPr>
              <w:t>中华人民共和国产品质量法、中华人民共和国消费者权益保护法、中华人民共和国专利法、中华人民共和国商标法等法律法规、中华人民共和国环境保护法、中华人民共和国固体废物污染环境防治法、中华人民共和国劳动法、中华人民共和国消防法、中华人民共和国职业病防治法、工伤保险条例、作业场所职业健康管理暂行规定、用人单位劳动防护用品管理规范、T/CPQS F001-2020 木质办公家具环保等级评价技术要求及其他要求。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numPr>
                <w:ilvl w:val="0"/>
                <w:numId w:val="0"/>
              </w:numPr>
              <w:spacing w:line="240" w:lineRule="exact"/>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numPr>
                <w:ilvl w:val="0"/>
                <w:numId w:val="0"/>
              </w:numPr>
              <w:spacing w:line="240" w:lineRule="exact"/>
              <w:rPr>
                <w:rFonts w:hint="eastAsia" w:ascii="Times New Roman" w:hAnsi="Times New Roman" w:eastAsia="宋体" w:cs="Times New Roman"/>
                <w:lang w:val="en-US" w:eastAsia="zh-CN"/>
              </w:rPr>
            </w:pPr>
            <w:r>
              <w:rPr>
                <w:rFonts w:hint="eastAsia" w:ascii="Times New Roman" w:hAnsi="Times New Roman" w:eastAsia="宋体" w:cs="Times New Roman"/>
              </w:rPr>
              <w:t>质量/环境/职业健康安全方针</w:t>
            </w:r>
          </w:p>
          <w:p>
            <w:pPr>
              <w:numPr>
                <w:ilvl w:val="0"/>
                <w:numId w:val="0"/>
              </w:numPr>
              <w:spacing w:line="280" w:lineRule="exac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遵循环境法规，立足污染预防，追求节能低碳，创建环保品牌；</w:t>
            </w:r>
          </w:p>
          <w:p>
            <w:pPr>
              <w:pStyle w:val="3"/>
              <w:spacing w:line="420" w:lineRule="exact"/>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倡导以人为本，关爱员工健康，和谐持续发展，彰显社会责任。</w:t>
            </w:r>
          </w:p>
          <w:p>
            <w:pPr>
              <w:keepNext w:val="0"/>
              <w:keepLines w:val="0"/>
              <w:pageBreakBefore w:val="0"/>
              <w:kinsoku/>
              <w:wordWrap/>
              <w:overflowPunct/>
              <w:topLinePunct w:val="0"/>
              <w:bidi w:val="0"/>
              <w:snapToGrid/>
              <w:spacing w:line="360" w:lineRule="exact"/>
              <w:textAlignment w:val="auto"/>
            </w:pPr>
            <w:r>
              <w:rPr>
                <w:rFonts w:hint="eastAsia" w:cs="宋体"/>
              </w:rPr>
              <w:t>管理方针与企业的经营宗旨相适应，协调；</w:t>
            </w:r>
          </w:p>
          <w:p>
            <w:pPr>
              <w:spacing w:line="300" w:lineRule="exact"/>
              <w:ind w:left="1"/>
              <w:rPr>
                <w:b/>
                <w:color w:val="000000" w:themeColor="text1"/>
                <w:sz w:val="20"/>
                <w:szCs w:val="20"/>
              </w:rPr>
            </w:pP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Times New Roman"/>
                <w:szCs w:val="21"/>
                <w:lang w:val="en-US" w:eastAsia="zh-CN"/>
              </w:rPr>
              <w:t>与上</w:t>
            </w:r>
            <w:r>
              <w:rPr>
                <w:rFonts w:hint="eastAsia" w:ascii="宋体" w:hAnsi="宋体"/>
                <w:szCs w:val="21"/>
              </w:rPr>
              <w:t>级主管部门的沟通，目前沟通都较为顺畅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销售部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主要熔喷料、聚丙烯料、木质托盘</w:t>
            </w:r>
            <w:r>
              <w:rPr>
                <w:rFonts w:hint="eastAsia"/>
                <w:b w:val="0"/>
                <w:bCs w:val="0"/>
                <w:sz w:val="21"/>
                <w:szCs w:val="21"/>
                <w:lang w:val="en-US" w:eastAsia="zh-CN"/>
              </w:rPr>
              <w:t>等</w:t>
            </w:r>
            <w:r>
              <w:rPr>
                <w:rFonts w:hint="eastAsia"/>
                <w:sz w:val="21"/>
                <w:szCs w:val="21"/>
                <w:lang w:val="en-US" w:eastAsia="zh-CN"/>
              </w:rPr>
              <w:t>，</w:t>
            </w:r>
            <w:r>
              <w:rPr>
                <w:rFonts w:hint="eastAsia"/>
                <w:sz w:val="21"/>
                <w:szCs w:val="21"/>
              </w:rPr>
              <w:t>编制</w:t>
            </w:r>
            <w:r>
              <w:rPr>
                <w:rFonts w:hint="eastAsia"/>
                <w:sz w:val="21"/>
                <w:szCs w:val="21"/>
                <w:lang w:eastAsia="zh-CN"/>
              </w:rPr>
              <w:t>进货检验规范</w:t>
            </w:r>
            <w:r>
              <w:rPr>
                <w:rFonts w:hint="eastAsia"/>
                <w:sz w:val="21"/>
                <w:szCs w:val="21"/>
              </w:rPr>
              <w:t>等作业文件规定采购产品质量要求；其次对供方进行了评价</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lang w:val="en-US" w:eastAsia="zh-CN"/>
              </w:rPr>
              <w:t>产品和服务要求控制程序》</w:t>
            </w:r>
            <w:r>
              <w:rPr>
                <w:rFonts w:hint="eastAsia" w:ascii="宋体" w:hAnsi="宋体"/>
                <w:sz w:val="21"/>
                <w:szCs w:val="21"/>
                <w:lang w:val="en-US" w:eastAsia="zh-CN"/>
              </w:rPr>
              <w:t>、《</w:t>
            </w:r>
            <w:r>
              <w:rPr>
                <w:rFonts w:hint="eastAsia" w:ascii="宋体" w:hAnsi="宋体"/>
                <w:color w:val="000000"/>
                <w:szCs w:val="21"/>
                <w:lang w:val="en-US" w:eastAsia="zh-CN"/>
              </w:rPr>
              <w:t>外部过程提供控制程序</w:t>
            </w:r>
            <w:r>
              <w:rPr>
                <w:rFonts w:hint="eastAsia" w:ascii="宋体" w:hAnsi="宋体"/>
                <w:sz w:val="21"/>
                <w:szCs w:val="21"/>
                <w:lang w:val="en-US" w:eastAsia="zh-CN"/>
              </w:rPr>
              <w:t>》、《</w:t>
            </w:r>
            <w:r>
              <w:rPr>
                <w:rFonts w:hint="eastAsia" w:ascii="宋体" w:hAnsi="宋体"/>
                <w:color w:val="000000"/>
                <w:spacing w:val="4"/>
                <w:szCs w:val="21"/>
              </w:rPr>
              <w:t>顾客满</w:t>
            </w:r>
            <w:r>
              <w:rPr>
                <w:rFonts w:hint="eastAsia" w:ascii="宋体" w:hAnsi="宋体"/>
                <w:color w:val="000000"/>
                <w:spacing w:val="4"/>
                <w:szCs w:val="21"/>
                <w:lang w:eastAsia="zh-CN"/>
              </w:rPr>
              <w:t>度测量</w:t>
            </w:r>
            <w:r>
              <w:rPr>
                <w:rFonts w:hint="eastAsia" w:ascii="宋体" w:hAnsi="宋体"/>
                <w:color w:val="000000"/>
                <w:spacing w:val="4"/>
                <w:szCs w:val="21"/>
              </w:rPr>
              <w:t>程序</w:t>
            </w:r>
            <w:r>
              <w:rPr>
                <w:rFonts w:hint="eastAsia" w:ascii="宋体" w:hAnsi="宋体"/>
                <w:color w:val="000000"/>
                <w:spacing w:val="4"/>
                <w:szCs w:val="21"/>
                <w:lang w:eastAsia="zh-CN"/>
              </w:rPr>
              <w:t>》</w:t>
            </w:r>
            <w:r>
              <w:rPr>
                <w:rFonts w:hint="eastAsia" w:ascii="宋体" w:hAnsi="宋体"/>
                <w:color w:val="000000"/>
                <w:spacing w:val="4"/>
                <w:szCs w:val="21"/>
                <w:lang w:val="en-US" w:eastAsia="zh-CN"/>
              </w:rPr>
              <w:t>等程序及</w:t>
            </w:r>
            <w:r>
              <w:rPr>
                <w:rFonts w:hint="eastAsia" w:ascii="宋体" w:hAnsi="宋体" w:cs="宋体"/>
                <w:szCs w:val="21"/>
                <w:lang w:val="en-US" w:eastAsia="zh-CN"/>
              </w:rPr>
              <w:t>《进货检验规范》、《销售服务管理规范》、《销售管理制度》、《售后服务管理制度》等多个工艺文件</w:t>
            </w:r>
            <w:r>
              <w:rPr>
                <w:rFonts w:hint="eastAsia"/>
                <w:sz w:val="21"/>
                <w:szCs w:val="21"/>
                <w:lang w:val="en-US" w:eastAsia="zh-CN"/>
              </w:rPr>
              <w:t>，由项目负责人组织人员、物资等资源进行销售服务，</w:t>
            </w:r>
            <w:r>
              <w:rPr>
                <w:rFonts w:hint="eastAsia" w:ascii="宋体" w:hAnsi="宋体"/>
                <w:sz w:val="21"/>
                <w:szCs w:val="21"/>
                <w:lang w:val="en-US" w:eastAsia="zh-CN"/>
              </w:rPr>
              <w:t>行跟踪</w:t>
            </w:r>
            <w:r>
              <w:rPr>
                <w:rFonts w:hint="eastAsia" w:ascii="宋体" w:hAnsi="宋体"/>
                <w:sz w:val="21"/>
                <w:szCs w:val="21"/>
              </w:rPr>
              <w:t>，</w:t>
            </w:r>
            <w:r>
              <w:rPr>
                <w:rFonts w:hint="eastAsia" w:ascii="宋体" w:hAnsi="宋体"/>
                <w:sz w:val="21"/>
                <w:szCs w:val="21"/>
                <w:lang w:val="en-US" w:eastAsia="zh-CN"/>
              </w:rPr>
              <w:t>评审服务的完成情况、服务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spacing w:line="240" w:lineRule="exact"/>
              <w:rPr>
                <w:b/>
                <w:color w:val="000000" w:themeColor="text1"/>
                <w:sz w:val="20"/>
                <w:szCs w:val="20"/>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00" w:lineRule="exact"/>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color w:val="000000"/>
                <w:szCs w:val="21"/>
                <w:lang w:val="en-US" w:eastAsia="zh-CN"/>
              </w:rPr>
              <w:t>质量管理制度、</w:t>
            </w:r>
            <w:r>
              <w:rPr>
                <w:rFonts w:hint="eastAsia" w:ascii="宋体" w:hAnsi="宋体" w:eastAsia="宋体" w:cs="宋体"/>
                <w:lang w:val="en-US" w:eastAsia="zh-CN"/>
              </w:rPr>
              <w:t xml:space="preserve"> 环境管理制度、安全管理制度、</w:t>
            </w:r>
            <w:r>
              <w:rPr>
                <w:rFonts w:hint="eastAsia" w:ascii="宋体" w:hAnsi="宋体" w:eastAsia="宋体" w:cs="宋体"/>
                <w:lang w:eastAsia="zh-CN"/>
              </w:rPr>
              <w:t>，</w:t>
            </w:r>
            <w:r>
              <w:rPr>
                <w:rFonts w:hint="eastAsia"/>
                <w:sz w:val="21"/>
                <w:szCs w:val="21"/>
              </w:rPr>
              <w:t>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提供有办公区检查表、相关方告知书。</w:t>
            </w:r>
            <w:r>
              <w:rPr>
                <w:rFonts w:hint="eastAsia"/>
                <w:color w:val="auto"/>
                <w:sz w:val="21"/>
                <w:szCs w:val="21"/>
                <w:lang w:val="en-US" w:eastAsia="zh-CN"/>
              </w:rPr>
              <w:t>未能提供对供方</w:t>
            </w:r>
            <w:r>
              <w:rPr>
                <w:rFonts w:hint="eastAsia" w:ascii="方正仿宋简体" w:eastAsia="方正仿宋简体"/>
                <w:b w:val="0"/>
                <w:bCs/>
                <w:color w:val="auto"/>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b/>
                <w:color w:val="000000" w:themeColor="text1"/>
                <w:sz w:val="20"/>
                <w:szCs w:val="20"/>
              </w:rPr>
            </w:pPr>
            <w:r>
              <w:rPr>
                <w:rFonts w:hint="eastAsia"/>
                <w:sz w:val="21"/>
                <w:szCs w:val="21"/>
                <w:lang w:val="en-GB"/>
              </w:rPr>
              <w:t>编制</w:t>
            </w:r>
            <w:r>
              <w:rPr>
                <w:rFonts w:hint="eastAsia" w:ascii="宋体" w:hAnsi="宋体" w:eastAsia="宋体" w:cs="宋体"/>
                <w:b w:val="0"/>
                <w:bCs/>
                <w:sz w:val="21"/>
              </w:rPr>
              <w:t>危险源、环境因素识别和评价控制程序</w:t>
            </w:r>
            <w:r>
              <w:rPr>
                <w:rFonts w:hint="eastAsia" w:ascii="宋体" w:hAnsi="宋体"/>
                <w:color w:val="000000"/>
                <w:szCs w:val="21"/>
                <w:lang w:eastAsia="zh-CN"/>
              </w:rPr>
              <w:t>、</w:t>
            </w:r>
            <w:r>
              <w:rPr>
                <w:rFonts w:hint="eastAsia" w:ascii="宋体" w:hAnsi="宋体" w:eastAsia="宋体" w:cs="宋体"/>
              </w:rPr>
              <w:t>健康、安全与环境运行控制程序</w:t>
            </w:r>
            <w:r>
              <w:rPr>
                <w:rFonts w:hint="eastAsia"/>
                <w:sz w:val="21"/>
                <w:szCs w:val="21"/>
                <w:lang w:val="en-GB"/>
              </w:rPr>
              <w:t>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w:t>
            </w:r>
            <w:r>
              <w:rPr>
                <w:rFonts w:hint="eastAsia"/>
                <w:sz w:val="21"/>
                <w:szCs w:val="21"/>
                <w:lang w:eastAsia="zh-CN"/>
              </w:rPr>
              <w:t>病毒感染、</w:t>
            </w:r>
            <w:r>
              <w:rPr>
                <w:rFonts w:hint="eastAsia"/>
                <w:sz w:val="21"/>
                <w:szCs w:val="21"/>
              </w:rPr>
              <w:t>相关方施加影响等进行控制，具体措施有对员工进行安全教育，对相关方进行告知</w:t>
            </w:r>
            <w:r>
              <w:rPr>
                <w:rFonts w:hint="eastAsia"/>
                <w:color w:val="auto"/>
                <w:sz w:val="21"/>
                <w:szCs w:val="21"/>
              </w:rPr>
              <w:t>，</w:t>
            </w:r>
            <w:r>
              <w:rPr>
                <w:rFonts w:hint="eastAsia"/>
                <w:color w:val="auto"/>
                <w:sz w:val="21"/>
                <w:szCs w:val="21"/>
                <w:lang w:val="en-US" w:eastAsia="zh-CN"/>
              </w:rPr>
              <w:t>但未能提供对供方</w:t>
            </w:r>
            <w:r>
              <w:rPr>
                <w:rFonts w:hint="eastAsia" w:ascii="方正仿宋简体" w:eastAsia="方正仿宋简体"/>
                <w:b w:val="0"/>
                <w:bCs/>
                <w:color w:val="auto"/>
                <w:lang w:val="en-US" w:eastAsia="zh-CN"/>
              </w:rPr>
              <w:t>施加影响的证据。</w:t>
            </w:r>
            <w:r>
              <w:rPr>
                <w:rFonts w:hint="eastAsia"/>
                <w:color w:val="auto"/>
                <w:sz w:val="21"/>
                <w:szCs w:val="21"/>
              </w:rPr>
              <w:t>办公区域干净整洁，配置灭火器等消防设施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w:t>
            </w:r>
            <w:r>
              <w:rPr>
                <w:rFonts w:hint="eastAsia"/>
                <w:sz w:val="21"/>
                <w:szCs w:val="21"/>
                <w:lang w:val="en-US" w:eastAsia="zh-CN"/>
              </w:rPr>
              <w:t>演练、触电应急演练</w:t>
            </w:r>
            <w:r>
              <w:rPr>
                <w:rFonts w:hint="eastAsia"/>
                <w:sz w:val="21"/>
                <w:szCs w:val="21"/>
                <w:lang w:val="en-GB"/>
              </w:rPr>
              <w:t>，提供了</w:t>
            </w:r>
            <w:r>
              <w:rPr>
                <w:rFonts w:hint="eastAsia"/>
                <w:sz w:val="21"/>
                <w:szCs w:val="21"/>
                <w:lang w:val="en-GB" w:eastAsia="zh-CN"/>
              </w:rPr>
              <w:t>相应</w:t>
            </w:r>
            <w:r>
              <w:rPr>
                <w:rFonts w:hint="eastAsia"/>
                <w:sz w:val="21"/>
                <w:szCs w:val="21"/>
                <w:lang w:val="en-GB"/>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sz w:val="21"/>
                <w:szCs w:val="21"/>
              </w:rPr>
              <w:t>提供了文件化可分解的目标、指标，经查问分解到各部门，经查阅建立的管理目标符合标准要求，</w:t>
            </w:r>
            <w:r>
              <w:rPr>
                <w:rFonts w:hint="eastAsia"/>
                <w:sz w:val="21"/>
                <w:szCs w:val="21"/>
                <w:lang w:val="en-US" w:eastAsia="zh-CN"/>
              </w:rPr>
              <w:t>+</w:t>
            </w:r>
            <w:r>
              <w:rPr>
                <w:rFonts w:hint="eastAsia"/>
                <w:sz w:val="21"/>
                <w:szCs w:val="21"/>
              </w:rPr>
              <w:t>在方针的框架下展开，每</w:t>
            </w:r>
            <w:r>
              <w:rPr>
                <w:rFonts w:hint="eastAsia"/>
                <w:sz w:val="21"/>
                <w:szCs w:val="21"/>
                <w:lang w:val="en-US" w:eastAsia="zh-CN"/>
              </w:rPr>
              <w:t>三个月</w:t>
            </w:r>
            <w:r>
              <w:rPr>
                <w:rFonts w:hint="eastAsia"/>
                <w:sz w:val="21"/>
                <w:szCs w:val="21"/>
              </w:rPr>
              <w:t>考核一次，查看20</w:t>
            </w:r>
            <w:r>
              <w:rPr>
                <w:rFonts w:hint="eastAsia"/>
                <w:sz w:val="21"/>
                <w:szCs w:val="21"/>
                <w:lang w:val="en-US" w:eastAsia="zh-CN"/>
              </w:rPr>
              <w:t>20</w:t>
            </w:r>
            <w:r>
              <w:rPr>
                <w:rFonts w:hint="eastAsia"/>
                <w:sz w:val="21"/>
                <w:szCs w:val="21"/>
              </w:rPr>
              <w:t>年</w:t>
            </w:r>
            <w:r>
              <w:rPr>
                <w:rFonts w:hint="eastAsia"/>
                <w:sz w:val="21"/>
                <w:szCs w:val="21"/>
                <w:lang w:val="en-US" w:eastAsia="zh-CN"/>
              </w:rPr>
              <w:t>7-9月</w:t>
            </w:r>
            <w:r>
              <w:rPr>
                <w:rFonts w:hint="eastAsia"/>
                <w:sz w:val="21"/>
                <w:szCs w:val="21"/>
              </w:rPr>
              <w:t>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cs="Times New Roman"/>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20年9月25日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9</w:t>
            </w:r>
            <w:r>
              <w:rPr>
                <w:rFonts w:hint="eastAsia" w:cs="宋体"/>
              </w:rPr>
              <w:t>月</w:t>
            </w:r>
            <w:r>
              <w:rPr>
                <w:rFonts w:hint="eastAsia" w:cs="宋体"/>
                <w:lang w:val="en-US" w:eastAsia="zh-CN"/>
              </w:rPr>
              <w:t>30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销售活动不涉及职业病，定期为职工发放劳保用品及防护口罩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3"/>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pacing w:val="-20"/>
                <w:sz w:val="20"/>
                <w:szCs w:val="20"/>
                <w:lang w:val="en-US" w:eastAsia="zh-CN"/>
              </w:rPr>
              <w:t>一阶段未发现不符合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240" w:lineRule="exact"/>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240" w:lineRule="exact"/>
              <w:ind w:left="-105" w:leftChars="-50" w:firstLine="0" w:firstLineChars="0"/>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w:t>
      </w:r>
      <w:r>
        <w:rPr>
          <w:rFonts w:hint="eastAsia"/>
          <w:b/>
          <w:color w:val="000000" w:themeColor="text1"/>
          <w:lang w:val="en-US" w:eastAsia="zh-CN"/>
        </w:rPr>
        <w:t>综合部</w:t>
      </w:r>
      <w:r>
        <w:rPr>
          <w:rFonts w:hint="eastAsia"/>
          <w:b/>
          <w:color w:val="000000" w:themeColor="text1"/>
        </w:rPr>
        <w:t>部门条款，分布</w:t>
      </w:r>
      <w:r>
        <w:rPr>
          <w:rFonts w:hint="eastAsia"/>
          <w:b/>
          <w:color w:val="auto"/>
        </w:rPr>
        <w:t>GB/T24001-2016标准的</w:t>
      </w:r>
      <w:r>
        <w:rPr>
          <w:rFonts w:hint="eastAsia"/>
          <w:b/>
          <w:color w:val="auto"/>
          <w:lang w:val="en-US" w:eastAsia="zh-CN"/>
        </w:rPr>
        <w:t>8.1</w:t>
      </w:r>
      <w:r>
        <w:rPr>
          <w:rFonts w:hint="eastAsia"/>
          <w:b/>
          <w:color w:val="auto"/>
        </w:rPr>
        <w:t>条款，</w:t>
      </w:r>
      <w:r>
        <w:rPr>
          <w:rFonts w:hint="eastAsia"/>
          <w:b/>
          <w:color w:val="auto"/>
          <w:lang w:val="en-US" w:eastAsia="zh-CN"/>
        </w:rPr>
        <w:t>GB/T45001-2020</w:t>
      </w:r>
      <w:r>
        <w:rPr>
          <w:rFonts w:hint="eastAsia"/>
          <w:b/>
          <w:color w:val="auto"/>
        </w:rPr>
        <w:t>标准的</w:t>
      </w:r>
      <w:r>
        <w:rPr>
          <w:rFonts w:hint="eastAsia"/>
          <w:b/>
          <w:color w:val="auto"/>
          <w:lang w:val="en-US" w:eastAsia="zh-CN"/>
        </w:rPr>
        <w:t>8.1.4</w:t>
      </w:r>
      <w:r>
        <w:rPr>
          <w:rFonts w:hint="eastAsia"/>
          <w:b/>
          <w:color w:val="auto"/>
        </w:rPr>
        <w:t>条款</w:t>
      </w:r>
      <w:r>
        <w:rPr>
          <w:rFonts w:hint="eastAsia"/>
          <w:b/>
          <w:color w:val="000000" w:themeColor="text1"/>
        </w:rPr>
        <w:t>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napToGrid w:val="0"/>
              <w:spacing w:after="94" w:afterLines="30"/>
              <w:ind w:firstLine="211" w:firstLineChars="100"/>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ascii="Times New Roman" w:hAnsi="Times New Roman" w:eastAsia="宋体" w:cs="Times New Roman"/>
                <w:color w:val="auto"/>
                <w:kern w:val="2"/>
                <w:sz w:val="21"/>
                <w:szCs w:val="21"/>
                <w:u w:val="single"/>
                <w:lang w:val="en-GB"/>
              </w:rPr>
              <w:t xml:space="preserve">  北京澹洋科技有限公司</w:t>
            </w:r>
            <w:r>
              <w:rPr>
                <w:rFonts w:hint="eastAsia" w:ascii="Times New Roman" w:hAnsi="Times New Roman" w:eastAsia="宋体" w:cs="Times New Roman"/>
                <w:color w:val="auto"/>
                <w:kern w:val="2"/>
                <w:sz w:val="21"/>
                <w:szCs w:val="21"/>
                <w:u w:val="single"/>
                <w:lang w:val="en-US" w:eastAsia="zh-CN"/>
              </w:rPr>
              <w:t xml:space="preserve">   </w:t>
            </w:r>
            <w:r>
              <w:rPr>
                <w:rFonts w:hint="eastAsia" w:ascii="Times New Roman" w:hAnsi="Times New Roman" w:eastAsia="宋体" w:cs="Times New Roman"/>
                <w:color w:val="auto"/>
                <w:kern w:val="2"/>
                <w:sz w:val="21"/>
                <w:szCs w:val="21"/>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2"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r>
        <w:rPr>
          <w:rFonts w:hint="eastAsia"/>
          <w:b/>
          <w:color w:val="000000" w:themeColor="text1"/>
          <w:sz w:val="16"/>
          <w:szCs w:val="16"/>
          <w:lang w:val="en-US" w:eastAsia="zh-CN"/>
        </w:rPr>
        <w:t xml:space="preserve">  </w:t>
      </w:r>
      <w:r>
        <w:rPr>
          <w:rFonts w:hint="eastAsia"/>
          <w:b w:val="0"/>
          <w:bCs/>
          <w:color w:val="000000" w:themeColor="text1"/>
          <w:lang w:val="en-US" w:eastAsia="zh-CN"/>
        </w:rPr>
        <w:t>受疫情影响采取远程审核方式，审核发现受限</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rPr>
          <w:rFonts w:ascii="宋体" w:hAnsi="宋体"/>
          <w:kern w:val="2"/>
          <w:sz w:val="24"/>
          <w:lang w:val="en-US" w:eastAsia="zh-CN" w:bidi="ar-SA"/>
        </w:rPr>
        <w:drawing>
          <wp:inline distT="0" distB="0" distL="114300" distR="114300">
            <wp:extent cx="472440" cy="333375"/>
            <wp:effectExtent l="0" t="0" r="10160" b="9525"/>
            <wp:docPr id="5" name="图片 5"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3bf272f255b2858840d3e70f53374"/>
                    <pic:cNvPicPr>
                      <a:picLocks noChangeAspect="1"/>
                    </pic:cNvPicPr>
                  </pic:nvPicPr>
                  <pic:blipFill>
                    <a:blip r:embed="rId6"/>
                    <a:srcRect l="2881" t="18762" r="9660" b="11905"/>
                    <a:stretch>
                      <a:fillRect/>
                    </a:stretch>
                  </pic:blipFill>
                  <pic:spPr>
                    <a:xfrm>
                      <a:off x="0" y="0"/>
                      <a:ext cx="472440" cy="333375"/>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A3"/>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 xml:space="preserve">   </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ascii="宋体" w:hAnsi="宋体"/>
          <w:kern w:val="2"/>
          <w:sz w:val="24"/>
          <w:lang w:val="en-US" w:eastAsia="zh-CN" w:bidi="ar-SA"/>
        </w:rPr>
        <w:drawing>
          <wp:inline distT="0" distB="0" distL="114300" distR="114300">
            <wp:extent cx="472440" cy="333375"/>
            <wp:effectExtent l="0" t="0" r="10160" b="9525"/>
            <wp:docPr id="3" name="图片 3"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3bf272f255b2858840d3e70f53374"/>
                    <pic:cNvPicPr>
                      <a:picLocks noChangeAspect="1"/>
                    </pic:cNvPicPr>
                  </pic:nvPicPr>
                  <pic:blipFill>
                    <a:blip r:embed="rId6"/>
                    <a:srcRect l="2881" t="18762" r="9660" b="11905"/>
                    <a:stretch>
                      <a:fillRect/>
                    </a:stretch>
                  </pic:blipFill>
                  <pic:spPr>
                    <a:xfrm>
                      <a:off x="0" y="0"/>
                      <a:ext cx="472440" cy="333375"/>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8</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bookmarkStart w:id="22" w:name="_GoBack"/>
      <w:bookmarkEnd w:id="22"/>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04EEB"/>
    <w:multiLevelType w:val="singleLevel"/>
    <w:tmpl w:val="FA604EEB"/>
    <w:lvl w:ilvl="0" w:tentative="0">
      <w:start w:val="8"/>
      <w:numFmt w:val="decimal"/>
      <w:suff w:val="space"/>
      <w:lvlText w:val="%1."/>
      <w:lvlJc w:val="left"/>
    </w:lvl>
  </w:abstractNum>
  <w:abstractNum w:abstractNumId="1">
    <w:nsid w:val="1FE173BB"/>
    <w:multiLevelType w:val="singleLevel"/>
    <w:tmpl w:val="1FE173BB"/>
    <w:lvl w:ilvl="0" w:tentative="0">
      <w:start w:val="5"/>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A27C16D"/>
    <w:multiLevelType w:val="singleLevel"/>
    <w:tmpl w:val="7A27C16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DC5B51"/>
    <w:rsid w:val="23207819"/>
    <w:rsid w:val="2C0B1E1B"/>
    <w:rsid w:val="5C42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iPriority w:val="0"/>
    <w:pPr>
      <w:spacing w:line="360" w:lineRule="auto"/>
      <w:ind w:firstLine="624"/>
    </w:pPr>
    <w:rPr>
      <w:sz w:val="28"/>
      <w:szCs w:val="20"/>
    </w:r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qFormat/>
    <w:uiPriority w:val="99"/>
    <w:rPr>
      <w:rFonts w:ascii="Times New Roman" w:hAnsi="Times New Roman" w:eastAsia="宋体" w:cs="Times New Roman"/>
      <w:sz w:val="18"/>
      <w:szCs w:val="18"/>
    </w:rPr>
  </w:style>
  <w:style w:type="character" w:customStyle="1" w:styleId="13">
    <w:name w:val="页脚 Char"/>
    <w:basedOn w:val="9"/>
    <w:link w:val="5"/>
    <w:uiPriority w:val="99"/>
    <w:rPr>
      <w:rFonts w:ascii="Times New Roman"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2021-04-10T13:46:13Z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269285471_btnclosed</vt:lpwstr>
  </property>
  <property fmtid="{D5CDD505-2E9C-101B-9397-08002B2CF9AE}" pid="4" name="ICV">
    <vt:lpwstr>208985D2BDA04FFF9CFE7A99187AABC2</vt:lpwstr>
  </property>
</Properties>
</file>