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450"/>
        <w:gridCol w:w="103"/>
        <w:gridCol w:w="6"/>
        <w:gridCol w:w="567"/>
        <w:gridCol w:w="1242"/>
        <w:gridCol w:w="75"/>
        <w:gridCol w:w="101"/>
        <w:gridCol w:w="128"/>
        <w:gridCol w:w="461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北京澹洋科技有限公司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北京市房山区大件路燕山石化动力厂对面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周家仪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17501121789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102400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010-89332058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475586327@qq.com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0687-2020-QEO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Q：化工原料（合成树脂、合成橡胶、橡塑改性材料）（不含危险品）、木制品的销售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E：化工原料（合成树脂、合成橡胶、橡塑改性材料）（不含危险品）、木制品的销售所涉及场所的相关环境管理活动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O：化工原料（合成树脂、合成橡胶、橡塑改性材料）（不含危险品）、木制品的销售所涉及场所的相关职业健康安全管理活动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2021年04月08日 上午至2021年04月08日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22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222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400" w:firstLineChars="2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周  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ind w:firstLine="600" w:firstLineChars="3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015"/>
        <w:gridCol w:w="3475"/>
        <w:gridCol w:w="246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2021.4.8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01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4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8:30-10:30</w:t>
            </w:r>
          </w:p>
        </w:tc>
        <w:tc>
          <w:tcPr>
            <w:tcW w:w="1015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475" w:type="dxa"/>
          </w:tcPr>
          <w:p>
            <w:pPr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</w:tc>
        <w:tc>
          <w:tcPr>
            <w:tcW w:w="2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4.1/4.2/4.3/4.4/5.1/5.2/5.3/6.1/6.2/7.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/9.1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/9.3/10.1/10.3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1015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组织的岗位、职责权限；目标、方案；环境因素/危险源识别评价；运行的策划和控制；产品和服务要求；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成文信息、能力意识、沟通交流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运行控制；应急准备和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相应；</w:t>
            </w:r>
          </w:p>
        </w:tc>
        <w:tc>
          <w:tcPr>
            <w:tcW w:w="2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Q7.1.2/7.1.3/7.1.4/7.1.6/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9.1.3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E5.3/6.1.2/6.1.3/6.2/7.2/7.3/7.4/7.5/8.1/8.2/9.1.1/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9.2/10.2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O6.1.2/6.1.3/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9.1.1/9.1.2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1015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组织的岗位、职责权限；目标、方案；环境因素/危险源识别评价；运行的策划和控制；产品和服务要求；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产品和服务的设计和开发；服务过程的控制；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顾客或外部供方财产；标识和可追溯性；产品防护；交付后活动；变更的控制；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产品和服务的放行；不合格品的控制；顾客满意；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运行控制；应急准备和响应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467" w:type="dxa"/>
          </w:tcPr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Q5.3/6.2/8.1/7.1.5/8.2/8.3/8.5/8.6/8.7/9.1.2；EO5.3/6.1.2/6.2/8.1/8.2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16：00-16：30</w:t>
            </w:r>
          </w:p>
        </w:tc>
        <w:tc>
          <w:tcPr>
            <w:tcW w:w="101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7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632" w:firstLineChars="3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与受审核方沟通</w:t>
            </w:r>
          </w:p>
        </w:tc>
        <w:tc>
          <w:tcPr>
            <w:tcW w:w="2467" w:type="dxa"/>
          </w:tcPr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101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7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1054" w:firstLineChars="5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7" w:type="dxa"/>
          </w:tcPr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F01F9A"/>
    <w:rsid w:val="4B015224"/>
    <w:rsid w:val="4E805A6B"/>
    <w:rsid w:val="7BEA1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2021-04-08T06:44:47Z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7CC89B7E60CF4D9E9A82DDB41D82E33F</vt:lpwstr>
  </property>
</Properties>
</file>