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34" w:rsidRDefault="00000DE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730434">
        <w:trPr>
          <w:trHeight w:val="599"/>
        </w:trPr>
        <w:tc>
          <w:tcPr>
            <w:tcW w:w="2160" w:type="dxa"/>
            <w:vMerge w:val="restart"/>
            <w:vAlign w:val="center"/>
          </w:tcPr>
          <w:p w:rsidR="00730434" w:rsidRDefault="00000DE2">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730434" w:rsidRDefault="00000DE2">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1012" w:type="dxa"/>
            <w:vMerge w:val="restart"/>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受审核部门：管理层</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主管领导：韩明波     总经理：韩明波   管代: 杨跃</w:t>
            </w:r>
            <w:r w:rsidR="0040115F">
              <w:rPr>
                <w:rFonts w:asciiTheme="minorEastAsia" w:eastAsiaTheme="minorEastAsia" w:hAnsiTheme="minorEastAsia" w:cstheme="minorEastAsia" w:hint="eastAsia"/>
                <w:szCs w:val="21"/>
              </w:rPr>
              <w:t xml:space="preserve">   陪同人员：姚娜</w:t>
            </w:r>
            <w:bookmarkStart w:id="0" w:name="_GoBack"/>
            <w:bookmarkEnd w:id="0"/>
          </w:p>
        </w:tc>
        <w:tc>
          <w:tcPr>
            <w:tcW w:w="895" w:type="dxa"/>
            <w:vMerge w:val="restart"/>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730434">
        <w:trPr>
          <w:trHeight w:val="403"/>
        </w:trPr>
        <w:tc>
          <w:tcPr>
            <w:tcW w:w="2160" w:type="dxa"/>
            <w:vMerge/>
            <w:vAlign w:val="center"/>
          </w:tcPr>
          <w:p w:rsidR="00730434" w:rsidRDefault="00730434">
            <w:pPr>
              <w:rPr>
                <w:rFonts w:asciiTheme="minorEastAsia" w:eastAsiaTheme="minorEastAsia" w:hAnsiTheme="minorEastAsia" w:cstheme="minorEastAsia"/>
                <w:szCs w:val="21"/>
              </w:rPr>
            </w:pPr>
          </w:p>
        </w:tc>
        <w:tc>
          <w:tcPr>
            <w:tcW w:w="1012" w:type="dxa"/>
            <w:vMerge/>
            <w:vAlign w:val="center"/>
          </w:tcPr>
          <w:p w:rsidR="00730434" w:rsidRDefault="00730434">
            <w:pPr>
              <w:rPr>
                <w:rFonts w:asciiTheme="minorEastAsia" w:eastAsiaTheme="minorEastAsia" w:hAnsiTheme="minorEastAsia" w:cstheme="minorEastAsia"/>
                <w:szCs w:val="21"/>
              </w:rPr>
            </w:pPr>
          </w:p>
        </w:tc>
        <w:tc>
          <w:tcPr>
            <w:tcW w:w="10642" w:type="dxa"/>
            <w:vAlign w:val="center"/>
          </w:tcPr>
          <w:p w:rsidR="00730434" w:rsidRDefault="00000DE2" w:rsidP="00F7769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F77693">
              <w:rPr>
                <w:rFonts w:asciiTheme="minorEastAsia" w:eastAsiaTheme="minorEastAsia" w:hAnsiTheme="minorEastAsia" w:cstheme="minorEastAsia" w:hint="eastAsia"/>
                <w:szCs w:val="21"/>
              </w:rPr>
              <w:t>李雅静</w:t>
            </w:r>
            <w:r>
              <w:rPr>
                <w:rFonts w:asciiTheme="minorEastAsia" w:eastAsiaTheme="minorEastAsia" w:hAnsiTheme="minorEastAsia" w:cstheme="minorEastAsia" w:hint="eastAsia"/>
                <w:szCs w:val="21"/>
              </w:rPr>
              <w:t xml:space="preserve">             审核时间：202</w:t>
            </w:r>
            <w:r w:rsidR="00A06FD6">
              <w:rPr>
                <w:rFonts w:asciiTheme="minorEastAsia" w:eastAsiaTheme="minorEastAsia" w:hAnsiTheme="minorEastAsia" w:cstheme="minorEastAsia" w:hint="eastAsia"/>
                <w:szCs w:val="21"/>
              </w:rPr>
              <w:t>1年</w:t>
            </w:r>
            <w:r w:rsidR="00F77693">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sidR="00F77693">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日</w:t>
            </w:r>
          </w:p>
        </w:tc>
        <w:tc>
          <w:tcPr>
            <w:tcW w:w="895" w:type="dxa"/>
            <w:vMerge/>
          </w:tcPr>
          <w:p w:rsidR="00730434" w:rsidRDefault="00730434">
            <w:pPr>
              <w:rPr>
                <w:rFonts w:asciiTheme="minorEastAsia" w:eastAsiaTheme="minorEastAsia" w:hAnsiTheme="minorEastAsia" w:cstheme="minorEastAsia"/>
                <w:szCs w:val="21"/>
              </w:rPr>
            </w:pPr>
          </w:p>
        </w:tc>
      </w:tr>
      <w:tr w:rsidR="00730434">
        <w:trPr>
          <w:trHeight w:val="516"/>
        </w:trPr>
        <w:tc>
          <w:tcPr>
            <w:tcW w:w="2160" w:type="dxa"/>
            <w:vMerge/>
            <w:vAlign w:val="center"/>
          </w:tcPr>
          <w:p w:rsidR="00730434" w:rsidRDefault="00730434">
            <w:pPr>
              <w:rPr>
                <w:rFonts w:asciiTheme="minorEastAsia" w:eastAsiaTheme="minorEastAsia" w:hAnsiTheme="minorEastAsia" w:cstheme="minorEastAsia"/>
                <w:szCs w:val="21"/>
              </w:rPr>
            </w:pPr>
          </w:p>
        </w:tc>
        <w:tc>
          <w:tcPr>
            <w:tcW w:w="1012" w:type="dxa"/>
            <w:vMerge/>
            <w:vAlign w:val="center"/>
          </w:tcPr>
          <w:p w:rsidR="00730434" w:rsidRDefault="00730434">
            <w:pPr>
              <w:rPr>
                <w:rFonts w:asciiTheme="minorEastAsia" w:eastAsiaTheme="minorEastAsia" w:hAnsiTheme="minorEastAsia" w:cstheme="minorEastAsia"/>
                <w:szCs w:val="21"/>
              </w:rPr>
            </w:pP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审核条款：Q:4.1/4.2/4.3/4.4/5.1/5.2/5.3/6.1/6.2/6.3/7.1/9.1.1/9.3/10.1/10.3;</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EO:4.1/4.2/4.3/4.4/5.1/5.2/5.3（5.4）/6.1.1/6.1.4/6.2/7.1/9.3/10.1/10.3</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资质验证/范围再确认/一阶段问题验证/投诉或事故/政府主管部门监督抽查情况。Q8.3不适用条款确认</w:t>
            </w:r>
          </w:p>
        </w:tc>
        <w:tc>
          <w:tcPr>
            <w:tcW w:w="895" w:type="dxa"/>
            <w:vMerge/>
          </w:tcPr>
          <w:p w:rsidR="00730434" w:rsidRDefault="00730434">
            <w:pPr>
              <w:rPr>
                <w:rFonts w:asciiTheme="minorEastAsia" w:eastAsiaTheme="minorEastAsia" w:hAnsiTheme="minorEastAsia" w:cstheme="minorEastAsia"/>
                <w:szCs w:val="21"/>
              </w:rPr>
            </w:pPr>
          </w:p>
        </w:tc>
      </w:tr>
      <w:tr w:rsidR="00730434">
        <w:trPr>
          <w:trHeight w:val="517"/>
        </w:trPr>
        <w:tc>
          <w:tcPr>
            <w:tcW w:w="2160" w:type="dxa"/>
            <w:vMerge w:val="restart"/>
          </w:tcPr>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理解组织及其环境</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总要求</w:t>
            </w:r>
          </w:p>
          <w:p w:rsidR="00730434" w:rsidRDefault="00730434">
            <w:pPr>
              <w:spacing w:line="280" w:lineRule="exact"/>
              <w:rPr>
                <w:rFonts w:asciiTheme="minorEastAsia" w:eastAsiaTheme="minorEastAsia" w:hAnsiTheme="minorEastAsia" w:cstheme="minorEastAsia"/>
                <w:szCs w:val="21"/>
              </w:rPr>
            </w:pPr>
          </w:p>
        </w:tc>
        <w:tc>
          <w:tcPr>
            <w:tcW w:w="1012" w:type="dxa"/>
            <w:vMerge w:val="restart"/>
          </w:tcPr>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确认受审方名称：北京利源百发商贸有限公司</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注册地址/经营地址：北京市丰台区新发地银地西路18号北水嘉伦市场院内D厅01号房</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资质确认：营业执照真实有效。企业信用代码：91110106688389973T  远程见到营业执照，见附件</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审核范围：远程视频确认范围</w:t>
            </w:r>
          </w:p>
          <w:p w:rsidR="00730434" w:rsidRDefault="00000DE2">
            <w:pPr>
              <w:rPr>
                <w:rFonts w:asciiTheme="minorEastAsia" w:eastAsiaTheme="minorEastAsia" w:hAnsiTheme="minorEastAsia" w:cstheme="minorEastAsia"/>
                <w:szCs w:val="21"/>
              </w:rPr>
            </w:pPr>
            <w:bookmarkStart w:id="1" w:name="审核范围"/>
            <w:r>
              <w:rPr>
                <w:rFonts w:asciiTheme="minorEastAsia" w:eastAsiaTheme="minorEastAsia" w:hAnsiTheme="minorEastAsia" w:cstheme="minorEastAsia" w:hint="eastAsia"/>
                <w:szCs w:val="21"/>
              </w:rPr>
              <w:t>Q：许可范围内预包装食品（含冷藏冷冻食品）的销售；鲜肉、鲜蛋、干鲜果品、蔬菜、粮油、水产品、调味品的销售</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E：许可范围内预包装食品（含冷藏冷冻食品）的销售；鲜肉、鲜蛋、干鲜果品、蔬菜、粮油、水产品、调味品的销售及相关环境管理活动</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O：许可范围内预包装食品（含冷藏冷冻食品）的销售；鲜肉、鲜蛋、干鲜果品、蔬菜、粮油、水产品、调味品的销售及相关职业健康安全管理活动</w:t>
            </w:r>
            <w:bookmarkEnd w:id="1"/>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总经理：韩明波  管理者代表：杨跃</w:t>
            </w:r>
          </w:p>
          <w:p w:rsidR="00F77693" w:rsidRPr="00F77693" w:rsidRDefault="00F77693" w:rsidP="00F77693">
            <w:pPr>
              <w:pStyle w:val="a0"/>
              <w:ind w:firstLineChars="150" w:firstLine="270"/>
              <w:jc w:val="both"/>
            </w:pPr>
            <w:r w:rsidRPr="00F62E7A">
              <w:rPr>
                <w:rFonts w:hint="eastAsia"/>
                <w:highlight w:val="cyan"/>
              </w:rPr>
              <w:t>经现场核实，资质真实有效。</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517"/>
        </w:trPr>
        <w:tc>
          <w:tcPr>
            <w:tcW w:w="2160" w:type="dxa"/>
            <w:vMerge/>
          </w:tcPr>
          <w:p w:rsidR="00730434" w:rsidRDefault="00730434">
            <w:pPr>
              <w:spacing w:line="280" w:lineRule="exact"/>
              <w:rPr>
                <w:rFonts w:asciiTheme="minorEastAsia" w:eastAsiaTheme="minorEastAsia" w:hAnsiTheme="minorEastAsia" w:cstheme="minorEastAsia"/>
                <w:szCs w:val="21"/>
              </w:rPr>
            </w:pPr>
          </w:p>
        </w:tc>
        <w:tc>
          <w:tcPr>
            <w:tcW w:w="1012" w:type="dxa"/>
            <w:vMerge/>
          </w:tcPr>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730434">
            <w:pPr>
              <w:rPr>
                <w:rFonts w:asciiTheme="minorEastAsia" w:eastAsiaTheme="minorEastAsia" w:hAnsiTheme="minorEastAsia" w:cstheme="minorEastAsia"/>
                <w:szCs w:val="21"/>
              </w:rPr>
            </w:pPr>
            <w:bookmarkStart w:id="2" w:name="组织名称"/>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北京利源百发商贸有限公司</w:t>
            </w:r>
            <w:bookmarkEnd w:id="2"/>
            <w:r>
              <w:rPr>
                <w:rFonts w:asciiTheme="minorEastAsia" w:eastAsiaTheme="minorEastAsia" w:hAnsiTheme="minorEastAsia" w:cstheme="minorEastAsia" w:hint="eastAsia"/>
                <w:szCs w:val="21"/>
              </w:rPr>
              <w:t>成立于2009 年4月16日，营业期限：2009年4月16日-2029年4月15日，注册资金：500万 ，经营范围包括经营范围包括预包装食品（含冷藏冷冻食品）的销售；鲜肉、鲜蛋、干鲜果品、蔬菜、粮油、水产品、调味品的销售销售。</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公司的主要客户群为北京的食品企业等；公司采用总经理负责制，层层把关，让用户真正放心</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管理手册，实施、发布日期：</w:t>
            </w:r>
            <w:r>
              <w:rPr>
                <w:rFonts w:asciiTheme="minorEastAsia" w:eastAsiaTheme="minorEastAsia" w:hAnsiTheme="minorEastAsia" w:cstheme="minorEastAsia" w:hint="eastAsia"/>
                <w:szCs w:val="21"/>
                <w:lang w:val="zh-CN"/>
              </w:rPr>
              <w:t>2020年3月10日</w:t>
            </w:r>
            <w:r>
              <w:rPr>
                <w:rFonts w:asciiTheme="minorEastAsia" w:eastAsiaTheme="minorEastAsia" w:hAnsiTheme="minorEastAsia" w:cstheme="minorEastAsia" w:hint="eastAsia"/>
                <w:szCs w:val="21"/>
              </w:rPr>
              <w:t>；微信照片查看，经营场所面积是2243平米，其中办公区100平米，冻库200平米，仓库面积1943平米。</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公司环境概述 地理位置：公司地处北京市丰台区，交通非常便利，周边为居民区，附近有其它企业。 </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国内国际市场：公司致力于为客户提供优良的许可范围内预包装食品（含冷藏冷冻食品）的销售；鲜肉、鲜蛋、干鲜果品、蔬菜、粮油、水产品、调味品的销售产品。公司的顾客遍布全国各地，竞争对手主要是国内企业。 </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法律法规：公司地处北京市，在环境和职业健康安全方面应符合国家和本市的环境和安全法律法规要求。</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rsidR="00730434" w:rsidRDefault="00730434">
            <w:pPr>
              <w:spacing w:line="280" w:lineRule="exact"/>
              <w:ind w:firstLineChars="200" w:firstLine="420"/>
              <w:rPr>
                <w:rFonts w:asciiTheme="minorEastAsia" w:eastAsiaTheme="minorEastAsia" w:hAnsiTheme="minorEastAsia" w:cstheme="minorEastAsia"/>
                <w:szCs w:val="21"/>
              </w:rPr>
            </w:pPr>
          </w:p>
        </w:tc>
        <w:tc>
          <w:tcPr>
            <w:tcW w:w="895" w:type="dxa"/>
          </w:tcPr>
          <w:p w:rsidR="00730434" w:rsidRDefault="00730434">
            <w:pPr>
              <w:rPr>
                <w:rFonts w:asciiTheme="minorEastAsia" w:eastAsiaTheme="minorEastAsia" w:hAnsiTheme="minorEastAsia" w:cstheme="minorEastAsia"/>
                <w:szCs w:val="21"/>
              </w:rPr>
            </w:pPr>
          </w:p>
        </w:tc>
      </w:tr>
      <w:tr w:rsidR="00730434">
        <w:trPr>
          <w:trHeight w:val="932"/>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理解相关方的需求和期望</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QEO4.2</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公司识别并确定了影响公司提供产品和服务能力的利益相关方：客户、供应商、员工、审核机构及政府机关等。</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管代介绍公司通过投标、合同约定形式了解相关方的需求，然后提供出满足他们要求提供优质产品和完善的服务，目前公司能满足相关方的需求和期望。</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相关方进行监视和评审的方式方法：公司通过走访、会议、上级文件、标准和规范的获取等方式对相关方的信息进行监视和评审。</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查组织环境分析报告，对客户，供应商、审核机构及政府机构进行了分析。报告日期为2020.3.10，编制人为武虎明 ，审批人为韩明波。</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1311"/>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确定管理体系的范围</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QEO4.3</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公司管理体系范围为：</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Q：许可范围内预包装食品（含冷藏冷冻食品）的销售；鲜肉、鲜蛋、干鲜果品、蔬菜、粮油、水产品、调味品的销售</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E：许可范围内预包装食品（含冷藏冷冻食品）的销售；鲜肉、鲜蛋、干鲜果品、蔬菜、粮油、水产品、调味品的销售及相关环境管理活动</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O：许可范围内预包装食品（含冷藏冷冻食品）的销售；鲜肉、鲜蛋、干鲜果品、蔬菜、粮油、水产品、调味品的销售及相关职业健康安全管理活动</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适用条款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管理体系及其过程</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QEO4.4</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w:t>
            </w:r>
            <w:r>
              <w:rPr>
                <w:rFonts w:asciiTheme="minorEastAsia" w:eastAsiaTheme="minorEastAsia" w:hAnsiTheme="minorEastAsia" w:cstheme="minorEastAsia" w:hint="eastAsia"/>
                <w:szCs w:val="21"/>
                <w:lang w:val="zh-CN"/>
              </w:rPr>
              <w:t>2020年3月10日</w:t>
            </w:r>
            <w:r>
              <w:rPr>
                <w:rFonts w:asciiTheme="minorEastAsia" w:eastAsiaTheme="minorEastAsia" w:hAnsiTheme="minorEastAsia" w:cstheme="minorEastAsia"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2020.3-2020.6）管理目标分解及完成情况记录。</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与负责人交流：部门确定了满足与管理体系有关的客户及相关方的要求。</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配备了各种资源满足体系运行的需要。 确立了监视测量的方法。</w:t>
            </w:r>
          </w:p>
          <w:p w:rsidR="00730434" w:rsidRPr="00F62E7A" w:rsidRDefault="00000DE2">
            <w:pPr>
              <w:adjustRightInd w:val="0"/>
              <w:snapToGrid w:val="0"/>
              <w:spacing w:line="276" w:lineRule="auto"/>
              <w:rPr>
                <w:rFonts w:asciiTheme="minorEastAsia" w:eastAsiaTheme="minorEastAsia" w:hAnsiTheme="minorEastAsia" w:cstheme="minorEastAsia"/>
                <w:szCs w:val="21"/>
              </w:rPr>
            </w:pPr>
            <w:r w:rsidRPr="00F62E7A">
              <w:rPr>
                <w:rFonts w:asciiTheme="minorEastAsia" w:eastAsiaTheme="minorEastAsia" w:hAnsiTheme="minorEastAsia" w:cstheme="minorEastAsia" w:hint="eastAsia"/>
                <w:szCs w:val="21"/>
              </w:rPr>
              <w:t>外包过程：货物运输</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体系无删减。</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1008"/>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领导作用与承诺</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QEO5.1</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公司编制了岗位职责与任职要求，明确了总经理的主要职责包括：</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组织制定本公司的 环境/职业健康安全方针、批准管理手册和程序文件；</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负责组织对本公司 环境/职业健康安全方针、 环境/职业健康安全目标进行评审和修订；</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负责国家和上级的有关法律法规和行规的贯彻执行；</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确保在全体员工中贯彻以顾客为关注焦点的意识；</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负责本公司各项资源的筹集和分配，确保必要和适量的配置；</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确保各部门的职责、权限得到确立并予以沟通；</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确保在管理层次和职能之间建立适宜的沟通过程，就环境/职业健康安全管理体系的有效性进行沟通；</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负责本公司的管理评审，评价环境/职业健康安全管理体系改进的机会和变更的需求，确保环境/职业健康安全管理体系的适宜性、充分性和有效性。</w:t>
            </w:r>
          </w:p>
          <w:p w:rsidR="00730434" w:rsidRDefault="00730434">
            <w:pPr>
              <w:adjustRightInd w:val="0"/>
              <w:snapToGrid w:val="0"/>
              <w:spacing w:line="276" w:lineRule="auto"/>
              <w:rPr>
                <w:rFonts w:asciiTheme="minorEastAsia" w:eastAsiaTheme="minorEastAsia" w:hAnsiTheme="minorEastAsia" w:cstheme="minorEastAsia"/>
                <w:szCs w:val="21"/>
              </w:rPr>
            </w:pP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把关注焦点是放在顾客身上。公司通过投标、合同约定、市场调研等方式了解顾客的需求，确定他们关心的产品特性，特别是产品的关键特性。通过定期对顾客满意度进行测量、售后服务了解顾客对产品的意见。</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在确定顾客的需求和期望时，公司同时考虑与产品有关的义务（如产品质量法、安全的责任、环境保护要求等）和法律法规要求，并采取措施，使其得到落实。</w:t>
            </w:r>
          </w:p>
          <w:p w:rsidR="00730434" w:rsidRDefault="00000DE2">
            <w:pPr>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承诺基本实现，没有违反的情况发生。</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QEO5.2</w:t>
            </w:r>
          </w:p>
          <w:p w:rsidR="00730434" w:rsidRDefault="00730434">
            <w:pPr>
              <w:snapToGrid w:val="0"/>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该公司管理方针：</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守法诚信追求质量，预防污染保护环境；</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关爱员工健康安全，持续改进追求卓越</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公司以质量、环境、职业健康安全标准为基础，结合公司实际特制定管理方针。与总经理进行交谈，总经理韩明波对方针内涵的理解较深刻。方针能为制定目标提供框架，方针基本符合标准的要求。</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总经理用会议、文件等手段保证管理方针为全体员工理解并落实到工作中。韩明波总经理说管理评审时对方针的持续适宜性进行了评审，有评审记录。</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以上管理方针通过文件、培训等形式将公司管理方针传达给所有为公司工作或代表公司的人员，相关方也可通过综合部获取公司管理方针。</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组织的岗位、职责和权限</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QEO5.3</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杨跃为管理体系的管理者代表。其职责和权限规定如下：</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1）负责审核管理手册和程序文件；</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2）批准技术性文件；审核环境/职业健康安全管理体系中的其他管理性文件；</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3）确保环境/职业健康安全管理体系在各过程中得到建立、实施并向最高管理者报告体系运行的绩效和其他信息，包括改进的需求；</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4）贯彻 环境/职业健康安全方针，落实 环境/职业健康安全目标；</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5）确保整个组织内形成并逐步提高满足顾客需求的意识；</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6）负责组织环境/职业健康安全管理体系的内部审核；</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7）就环境/职业健康安全管理体系的相关事宜对外联络；。</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就质量环境和职业健康安全体系有关事宜与第三方认证机构进行沟通和联络。</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询问管代杨跃职责回答正确。</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工作人员的协商和参与(员工代表）</w:t>
            </w:r>
          </w:p>
        </w:tc>
        <w:tc>
          <w:tcPr>
            <w:tcW w:w="101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O5.4</w:t>
            </w: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经全体员工推举 </w:t>
            </w:r>
            <w:r>
              <w:rPr>
                <w:rFonts w:asciiTheme="minorEastAsia" w:eastAsiaTheme="minorEastAsia" w:hAnsiTheme="minorEastAsia" w:cstheme="minorEastAsia" w:hint="eastAsia"/>
                <w:szCs w:val="21"/>
                <w:lang w:val="zh-CN"/>
              </w:rPr>
              <w:t>姚娜</w:t>
            </w:r>
            <w:r>
              <w:rPr>
                <w:rFonts w:asciiTheme="minorEastAsia" w:eastAsiaTheme="minorEastAsia" w:hAnsiTheme="minorEastAsia" w:cstheme="minorEastAsia" w:hint="eastAsia"/>
                <w:szCs w:val="21"/>
              </w:rPr>
              <w:t xml:space="preserve"> 同志为我公司职业健康安全事务代表，除其本身的职责以外，代表员工参与公司职业健康安全管理工作。</w:t>
            </w:r>
          </w:p>
          <w:p w:rsidR="00730434" w:rsidRDefault="00000DE2">
            <w:pPr>
              <w:spacing w:line="28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参与危险源辨识、风险评价和控制措施的确定；</w:t>
            </w:r>
          </w:p>
          <w:p w:rsidR="00730434" w:rsidRDefault="00000DE2">
            <w:pPr>
              <w:spacing w:line="28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参与公司职业健康安全方针、目标的制定和评审；</w:t>
            </w:r>
          </w:p>
          <w:p w:rsidR="00730434" w:rsidRDefault="00000DE2">
            <w:pPr>
              <w:spacing w:line="28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参与安全事件调查和处理；</w:t>
            </w:r>
          </w:p>
          <w:p w:rsidR="00730434" w:rsidRDefault="00000DE2">
            <w:pPr>
              <w:spacing w:line="28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对影响公司职业健康安全的任何变更进行协商；</w:t>
            </w:r>
          </w:p>
          <w:p w:rsidR="00730434" w:rsidRDefault="00000DE2">
            <w:pPr>
              <w:spacing w:line="280" w:lineRule="exact"/>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协调公司和员工的关系，上传下达。</w:t>
            </w:r>
          </w:p>
          <w:p w:rsidR="00730434" w:rsidRDefault="00730434">
            <w:pPr>
              <w:rPr>
                <w:rFonts w:asciiTheme="minorEastAsia" w:eastAsiaTheme="minorEastAsia" w:hAnsiTheme="minorEastAsia" w:cstheme="minorEastAsia"/>
                <w:szCs w:val="21"/>
              </w:rPr>
            </w:pP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企业按标准要求，为各适用层次和职能的员工及其员工代表在职业健康安全管理体系的开发、策划、实施、绩效评价和实施改进时的协商和参与。包括：协商和参与提供所需的机制、时间、培训和资源；</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向员工和员工代表提供有关职业健康安全管理体系清晰的、可理解的和必要的信息；确定并消除影响参与的障碍或壁垒，并尽量减少那些无法消除的障碍或壁垒；</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主要协商：员工需求和期望；公司的职业健康安全方针；需要履行法定要求和其它要求；安全目标；需监视、测量和评价的内容等</w:t>
            </w:r>
          </w:p>
          <w:p w:rsidR="00730434" w:rsidRDefault="00730434">
            <w:pPr>
              <w:pStyle w:val="a0"/>
              <w:jc w:val="left"/>
              <w:rPr>
                <w:rFonts w:asciiTheme="minorEastAsia" w:eastAsiaTheme="minorEastAsia" w:hAnsiTheme="minorEastAsia" w:cstheme="minorEastAsia"/>
                <w:sz w:val="21"/>
                <w:szCs w:val="21"/>
              </w:rPr>
            </w:pP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应对风险和机遇的措施</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Q6.1</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EO6.1.1</w:t>
            </w:r>
          </w:p>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企业识别了如下分析：</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1、政策风险：公司属于销售行业，主要客户为各企事业单位，及个体经营者、厂区，有产业和政策调整的风险较小。但为了防止未来有可能发生改变的政策，企业拟在其它类型的工作业务扩大做准备。</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2、资金风险：产品及人工成本不断提高，是对资金风险的考验，但不会是关键风险。</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3、技术风险：公司拟招聘经验丰富的技术服务人员，并不断组织人员到同行优秀企业学习，加大产品服务及后期作业工作能力的提升，不断提高我企业的行业竞争能力，规避相关技术风险。</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5、来自市场的风险，加强公司内部人员的基础素质，提高专业技能、对于公司内部的机密信息不能外泄，保护好公司的内部人员，防止公司内部人员的流失。</w:t>
            </w:r>
          </w:p>
          <w:p w:rsidR="00730434" w:rsidRDefault="00730434">
            <w:pPr>
              <w:rPr>
                <w:rFonts w:asciiTheme="minorEastAsia" w:eastAsiaTheme="minorEastAsia" w:hAnsiTheme="minorEastAsia" w:cstheme="minorEastAsia"/>
                <w:szCs w:val="21"/>
              </w:rPr>
            </w:pP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风险评估结论：对于以上涉及到的主要风险，一旦发生，均可能对公司的发展造成巨大损失，所以我们应时刻监视并评价相关环境因素，尽可能的规避风险或降低发生概率。</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1364"/>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措施的策划</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EO6.1.4</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企业制定了如下措施：</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针对政策风险，公司时刻关注政策的走向，在符合政策的同时对公司进行开展运作。</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资金风险，公司建立一定得预备资金，防止一时的资金断裂对公司运行造成重大影响。</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技术风险的应对，定期进行人员培训及技术考核，公司做到公平公正的政策，引进适者生存的模式，对于不适宜的人员先进行调岗，如不能满足要求，再进行淘汰。</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管理及市场风险的应对，加强公司团队的建设，争取公司的竞争力度，积极开拓市场业务，必要时增加公司的资质，例如进行管理体系的认证。</w:t>
            </w:r>
          </w:p>
          <w:p w:rsidR="00730434" w:rsidRDefault="00730434">
            <w:pPr>
              <w:pStyle w:val="a6"/>
              <w:rPr>
                <w:rFonts w:asciiTheme="minorEastAsia" w:eastAsiaTheme="minorEastAsia" w:hAnsiTheme="minorEastAsia" w:cstheme="minorEastAsia"/>
                <w:szCs w:val="21"/>
              </w:rPr>
            </w:pPr>
          </w:p>
        </w:tc>
        <w:tc>
          <w:tcPr>
            <w:tcW w:w="895" w:type="dxa"/>
          </w:tcPr>
          <w:p w:rsidR="00730434" w:rsidRDefault="00730434">
            <w:pPr>
              <w:rPr>
                <w:rFonts w:asciiTheme="minorEastAsia" w:eastAsiaTheme="minorEastAsia" w:hAnsiTheme="minorEastAsia" w:cstheme="minorEastAsia"/>
                <w:szCs w:val="21"/>
              </w:rPr>
            </w:pPr>
          </w:p>
        </w:tc>
      </w:tr>
      <w:tr w:rsidR="00730434">
        <w:trPr>
          <w:trHeight w:val="1087"/>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管理目标及其实现的策划</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QEO6.2</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公司对管理体系所需的相关职能、层次和过程设定管理目标。</w:t>
            </w:r>
          </w:p>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公司管理目标是：</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1）销售产品合格率100%；</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2）产品交付及时率98%；</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3）合同评审率100%；</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4）顾客满意率95%以上</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5)固体废弃物100%分类，合理处理；</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6）环境污染事故发生率为零</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7）各类重伤以上事故发生率为零； </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8）火灾事故发生率为零。</w:t>
            </w:r>
          </w:p>
          <w:p w:rsidR="00730434" w:rsidRDefault="00730434">
            <w:pPr>
              <w:autoSpaceDE w:val="0"/>
              <w:autoSpaceDN w:val="0"/>
              <w:adjustRightInd w:val="0"/>
              <w:ind w:firstLineChars="600" w:firstLine="1260"/>
              <w:rPr>
                <w:rFonts w:asciiTheme="minorEastAsia" w:eastAsiaTheme="minorEastAsia" w:hAnsiTheme="minorEastAsia" w:cstheme="minorEastAsia"/>
                <w:kern w:val="0"/>
                <w:szCs w:val="21"/>
              </w:rPr>
            </w:pP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公司的质量目标已分解到相关职能部门。目标可测量，与公司管理方针一致。</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每年由综合部按公司管理目标考核要求统计考核公司管理目标完成情况，提交管理评审会议。</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查到（2020.3-2020.6），公司管理目标完成情况，各项目标均已完成，考核部门综合部。</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针对重要环境因素、不可接受风险制订了管理方案并予以实施，基本有效，详见综合部该条款审核记录。</w:t>
            </w:r>
          </w:p>
          <w:p w:rsidR="00730434" w:rsidRDefault="00730434">
            <w:pPr>
              <w:pStyle w:val="a6"/>
              <w:rPr>
                <w:rFonts w:asciiTheme="minorEastAsia" w:eastAsiaTheme="minorEastAsia" w:hAnsiTheme="minorEastAsia" w:cstheme="minorEastAsia"/>
                <w:szCs w:val="21"/>
              </w:rPr>
            </w:pPr>
          </w:p>
        </w:tc>
        <w:tc>
          <w:tcPr>
            <w:tcW w:w="895" w:type="dxa"/>
          </w:tcPr>
          <w:p w:rsidR="00730434" w:rsidRDefault="00730434">
            <w:pPr>
              <w:rPr>
                <w:rFonts w:asciiTheme="minorEastAsia" w:eastAsiaTheme="minorEastAsia" w:hAnsiTheme="minorEastAsia" w:cstheme="minorEastAsia"/>
                <w:szCs w:val="21"/>
              </w:rPr>
            </w:pPr>
          </w:p>
        </w:tc>
      </w:tr>
      <w:tr w:rsidR="00730434">
        <w:trPr>
          <w:trHeight w:val="705"/>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变更的策划</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Q6.3</w:t>
            </w:r>
          </w:p>
          <w:p w:rsidR="00730434" w:rsidRDefault="00730434">
            <w:pPr>
              <w:pStyle w:val="a6"/>
              <w:rPr>
                <w:rFonts w:asciiTheme="minorEastAsia" w:eastAsiaTheme="minorEastAsia" w:hAnsiTheme="minorEastAsia" w:cstheme="minorEastAsia"/>
                <w:szCs w:val="21"/>
              </w:rPr>
            </w:pPr>
          </w:p>
        </w:tc>
        <w:tc>
          <w:tcPr>
            <w:tcW w:w="1064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rsidR="00730434" w:rsidRDefault="00730434">
            <w:pPr>
              <w:rPr>
                <w:rFonts w:asciiTheme="minorEastAsia" w:eastAsiaTheme="minorEastAsia" w:hAnsiTheme="minorEastAsia" w:cstheme="minorEastAsia"/>
                <w:szCs w:val="21"/>
              </w:rPr>
            </w:pP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公司目前对管理体系暂无变更。</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719"/>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资源、总则</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QEO7.1</w:t>
            </w: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查公司配备了必要的人力资源，基础设施，规范文件、资金等必要的资源，能够持续满足顾客需求和管理体系改进的需要。</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部门：销售部、综合部</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人员：办公人员、销售人员、财务人员、库管人员</w:t>
            </w:r>
          </w:p>
          <w:p w:rsidR="00730434" w:rsidRDefault="00000DE2">
            <w:pPr>
              <w:rPr>
                <w:rFonts w:asciiTheme="minorEastAsia" w:eastAsiaTheme="minorEastAsia" w:hAnsiTheme="minorEastAsia" w:cstheme="minorEastAsia"/>
                <w:szCs w:val="21"/>
              </w:rPr>
            </w:pPr>
            <w:r>
              <w:rPr>
                <w:rStyle w:val="info-content-text"/>
                <w:rFonts w:asciiTheme="minorEastAsia" w:eastAsiaTheme="minorEastAsia" w:hAnsiTheme="minorEastAsia" w:cstheme="minorEastAsia" w:hint="eastAsia"/>
                <w:szCs w:val="21"/>
                <w:shd w:val="clear" w:color="auto" w:fill="FFFFFF"/>
              </w:rPr>
              <w:t>办公设备：电脑、电话、打印机、传真机等</w:t>
            </w:r>
          </w:p>
          <w:p w:rsidR="00730434" w:rsidRDefault="00000DE2">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环保设备：垃圾桶、灭火器</w:t>
            </w:r>
          </w:p>
          <w:p w:rsidR="00730434" w:rsidRDefault="00000DE2">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消防设施：消防栓、灭火器、应急灯等</w:t>
            </w:r>
          </w:p>
          <w:p w:rsidR="00730434" w:rsidRDefault="00000DE2">
            <w:pPr>
              <w:pStyle w:val="a6"/>
              <w:rPr>
                <w:rStyle w:val="info-content-text"/>
                <w:rFonts w:asciiTheme="minorEastAsia" w:eastAsiaTheme="minorEastAsia" w:hAnsiTheme="minorEastAsia" w:cstheme="minorEastAsia"/>
                <w:bCs w:val="0"/>
                <w:spacing w:val="0"/>
                <w:szCs w:val="21"/>
                <w:shd w:val="clear" w:color="auto" w:fill="FFFFFF"/>
              </w:rPr>
            </w:pPr>
            <w:r>
              <w:rPr>
                <w:rStyle w:val="info-content-text"/>
                <w:rFonts w:asciiTheme="minorEastAsia" w:eastAsiaTheme="minorEastAsia" w:hAnsiTheme="minorEastAsia" w:cstheme="minorEastAsia" w:hint="eastAsia"/>
                <w:bCs w:val="0"/>
                <w:spacing w:val="0"/>
                <w:szCs w:val="21"/>
                <w:shd w:val="clear" w:color="auto" w:fill="FFFFFF"/>
              </w:rPr>
              <w:t>监视测量设施：有温度控制设备、冻库设备（Elitech 精创 MTC-5080）</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总经理对资源的配备比较重视，人力资源配备和工作环境等均可满足体系运行需要。</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绩效测量和监视</w:t>
            </w:r>
          </w:p>
        </w:tc>
        <w:tc>
          <w:tcPr>
            <w:tcW w:w="1012" w:type="dxa"/>
            <w:vAlign w:val="center"/>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Q9.1.1</w:t>
            </w:r>
          </w:p>
          <w:p w:rsidR="00730434" w:rsidRDefault="00730434">
            <w:pPr>
              <w:rPr>
                <w:rFonts w:asciiTheme="minorEastAsia" w:eastAsiaTheme="minorEastAsia" w:hAnsiTheme="minorEastAsia" w:cstheme="minorEastAsia"/>
                <w:szCs w:val="21"/>
              </w:rPr>
            </w:pPr>
          </w:p>
        </w:tc>
        <w:tc>
          <w:tcPr>
            <w:tcW w:w="10642" w:type="dxa"/>
            <w:vAlign w:val="center"/>
          </w:tcPr>
          <w:p w:rsidR="00730434" w:rsidRDefault="00000DE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测量控制程序》，对预包装食品（含冷藏冷冻食品）的销售；鲜肉、鲜蛋、干鲜果品、蔬菜、粮油、水产品、调味品销售的质量特性进行监视和测量，并进行了分析。以验证其符合要求的程度，确保服务符合要求。</w:t>
            </w:r>
          </w:p>
          <w:p w:rsidR="00730434" w:rsidRDefault="00000DE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rsidR="00730434" w:rsidRDefault="00000DE2">
            <w:pPr>
              <w:pStyle w:val="a6"/>
              <w:ind w:firstLineChars="200" w:firstLine="46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综合部提供了质量目标分解与实施表，涉及到质量环境安全目标8个，规定了分解部门，分解值与采取的措施，考核频次为每季度。</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目标均完成。</w:t>
            </w:r>
          </w:p>
          <w:p w:rsidR="00730434" w:rsidRDefault="00000DE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查阅“环境目标、指标和管理方案”和“职业健康安全目标、指标和管理方案”</w:t>
            </w:r>
          </w:p>
          <w:p w:rsidR="00730434" w:rsidRDefault="00000DE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评价时间为2020年3月20日。</w:t>
            </w:r>
          </w:p>
          <w:p w:rsidR="00730434" w:rsidRDefault="00000DE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查安全绩效监测评价报告，评价结论为通过贯彻GB/T45001-2018标准，公司员工的安全意识明显加强，公司的安全管理水平有了较大的提高。公司的办公区域及所管辖的现场</w:t>
            </w:r>
          </w:p>
          <w:p w:rsidR="00730434" w:rsidRDefault="00000DE2">
            <w:pPr>
              <w:pStyle w:val="a6"/>
              <w:rPr>
                <w:rFonts w:asciiTheme="minorEastAsia" w:eastAsiaTheme="minorEastAsia" w:hAnsiTheme="minorEastAsia" w:cstheme="minorEastAsia"/>
                <w:bCs w:val="0"/>
                <w:spacing w:val="0"/>
                <w:szCs w:val="21"/>
              </w:rPr>
            </w:pPr>
            <w:r>
              <w:rPr>
                <w:rFonts w:asciiTheme="minorEastAsia" w:eastAsiaTheme="minorEastAsia" w:hAnsiTheme="minorEastAsia" w:cstheme="minorEastAsia" w:hint="eastAsia"/>
                <w:bCs w:val="0"/>
                <w:spacing w:val="0"/>
                <w:szCs w:val="21"/>
              </w:rPr>
              <w:t>范围内的安全工作更加规范，在工作得到了客户的好评。</w:t>
            </w:r>
            <w:r>
              <w:rPr>
                <w:rFonts w:asciiTheme="minorEastAsia" w:eastAsiaTheme="minorEastAsia" w:hAnsiTheme="minorEastAsia" w:cstheme="minorEastAsia" w:hint="eastAsia"/>
                <w:szCs w:val="21"/>
              </w:rPr>
              <w:t>评价人为公司领导和各部门负责人，评价时间为2020年7月30日。</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w:t>
            </w:r>
          </w:p>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w:t>
            </w:r>
          </w:p>
          <w:p w:rsidR="00730434" w:rsidRDefault="00000DE2">
            <w:pPr>
              <w:numPr>
                <w:ilvl w:val="0"/>
                <w:numId w:val="1"/>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管理评审计划</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评审时间：计划2020年6月20日进行，评审方式：会议评审，</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编制：杨跃    批准：韩明波  日期： 2020年6月20日</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参加人员包括公司总经理、管理者代表、各部门负责人，</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计划中明确了评审内容和资料准备要求。</w:t>
            </w:r>
          </w:p>
          <w:p w:rsidR="00730434" w:rsidRDefault="00000DE2">
            <w:pPr>
              <w:numPr>
                <w:ilvl w:val="0"/>
                <w:numId w:val="2"/>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管理评审内容：</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报告内部审核的情况；</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顾客的反馈，包括满意程度的测量结果等；</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方针贯彻落实及质量/环境/职业健康安全目标完成情况； </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对日常发现的不合格项采取的纠正和预防措施的实施情况；</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环境体系运行评价总结；</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职业健康安全管理体系运行评价总结；</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销售服务过程和体系改进的建议； </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会议讨论情况；</w:t>
            </w:r>
          </w:p>
          <w:p w:rsidR="00730434" w:rsidRDefault="00000DE2">
            <w:pPr>
              <w:spacing w:line="28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总经理作会议总结。 总经理作会议总结。提供管理评审报告。</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管理评审结论：最终得出本公司管理体系是适宜的、充分的、有效的，方针和目标是适宜的和有效的。但为了更好的运行体系，特提出以下要求：</w:t>
            </w:r>
          </w:p>
          <w:p w:rsidR="00730434" w:rsidRDefault="00000DE2">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组织员工对某些重要条款进行学习，如：7.5.3文件化信息的控制；</w:t>
            </w:r>
          </w:p>
          <w:p w:rsidR="00730434" w:rsidRDefault="00000DE2">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建设网站，增强公司市场的推广能力。</w:t>
            </w:r>
          </w:p>
          <w:p w:rsidR="00730434" w:rsidRDefault="00000DE2">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管理体系运行稳定、适宜、具备第三方机构认证条件，可以申请认证。</w:t>
            </w:r>
          </w:p>
          <w:p w:rsidR="00730434" w:rsidRDefault="00000DE2">
            <w:pPr>
              <w:numPr>
                <w:ilvl w:val="0"/>
                <w:numId w:val="3"/>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改进措施完成情况，</w:t>
            </w:r>
          </w:p>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制定管理评审出现问题持续改进措施计划。</w:t>
            </w:r>
          </w:p>
          <w:p w:rsidR="00730434" w:rsidRDefault="00000DE2">
            <w:pPr>
              <w:ind w:firstLine="5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查（管评）纠正/预防措施表，已对标准、质量手册、程序文件进行培训，符合要求。评价效果很好，评价人：韩明波   时间: 2020年6月26日</w:t>
            </w:r>
          </w:p>
          <w:p w:rsidR="00730434" w:rsidRDefault="00730434">
            <w:pPr>
              <w:ind w:firstLine="540"/>
              <w:rPr>
                <w:rFonts w:asciiTheme="minorEastAsia" w:eastAsiaTheme="minorEastAsia" w:hAnsiTheme="minorEastAsia" w:cstheme="minorEastAsia"/>
                <w:szCs w:val="21"/>
              </w:rPr>
            </w:pPr>
          </w:p>
          <w:p w:rsidR="00730434" w:rsidRDefault="00730434">
            <w:pPr>
              <w:pStyle w:val="a0"/>
              <w:jc w:val="both"/>
              <w:rPr>
                <w:rFonts w:asciiTheme="minorEastAsia" w:eastAsiaTheme="minorEastAsia" w:hAnsiTheme="minorEastAsia" w:cstheme="minorEastAsia"/>
                <w:sz w:val="21"/>
                <w:szCs w:val="21"/>
              </w:rPr>
            </w:pPr>
          </w:p>
        </w:tc>
        <w:tc>
          <w:tcPr>
            <w:tcW w:w="895" w:type="dxa"/>
          </w:tcPr>
          <w:p w:rsidR="00730434" w:rsidRDefault="00000DE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730434">
        <w:trPr>
          <w:trHeight w:val="1105"/>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总则</w:t>
            </w:r>
          </w:p>
          <w:p w:rsidR="00730434" w:rsidRDefault="00730434">
            <w:pPr>
              <w:spacing w:line="280" w:lineRule="exact"/>
              <w:rPr>
                <w:rFonts w:asciiTheme="minorEastAsia" w:eastAsiaTheme="minorEastAsia" w:hAnsiTheme="minorEastAsia" w:cstheme="minorEastAsia"/>
                <w:szCs w:val="21"/>
              </w:rPr>
            </w:pP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 10.1</w:t>
            </w:r>
          </w:p>
          <w:p w:rsidR="00730434" w:rsidRDefault="00730434">
            <w:pPr>
              <w:spacing w:line="280" w:lineRule="exact"/>
              <w:rPr>
                <w:rFonts w:asciiTheme="minorEastAsia" w:eastAsiaTheme="minorEastAsia" w:hAnsiTheme="minorEastAsia" w:cstheme="minorEastAsia"/>
                <w:szCs w:val="21"/>
              </w:rPr>
            </w:pPr>
          </w:p>
        </w:tc>
        <w:tc>
          <w:tcPr>
            <w:tcW w:w="10642" w:type="dxa"/>
          </w:tcPr>
          <w:p w:rsidR="00730434" w:rsidRDefault="00000DE2">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——具体事实可见审核10.2条款记录。</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2110"/>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持续改进</w:t>
            </w:r>
          </w:p>
        </w:tc>
        <w:tc>
          <w:tcPr>
            <w:tcW w:w="1012"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w:t>
            </w:r>
          </w:p>
        </w:tc>
        <w:tc>
          <w:tcPr>
            <w:tcW w:w="10642" w:type="dxa"/>
            <w:vAlign w:val="center"/>
          </w:tcPr>
          <w:p w:rsidR="00730434" w:rsidRDefault="00000DE2">
            <w:pPr>
              <w:spacing w:line="280" w:lineRule="exact"/>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根据不同过程、不同产品和不同要求，采取不同的方法进行监视、测量和分析。</w:t>
            </w:r>
          </w:p>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sidR="00730434" w:rsidRDefault="00730434">
            <w:pPr>
              <w:rPr>
                <w:rFonts w:asciiTheme="minorEastAsia" w:eastAsiaTheme="minorEastAsia" w:hAnsiTheme="minorEastAsia" w:cstheme="minorEastAsia"/>
                <w:szCs w:val="21"/>
              </w:rPr>
            </w:pPr>
          </w:p>
        </w:tc>
      </w:tr>
      <w:tr w:rsidR="00730434">
        <w:trPr>
          <w:trHeight w:val="1531"/>
        </w:trPr>
        <w:tc>
          <w:tcPr>
            <w:tcW w:w="2160" w:type="dxa"/>
          </w:tcPr>
          <w:p w:rsidR="00730434" w:rsidRDefault="00000DE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一阶段问题验证/投诉或事故/政府主管部门监督抽查情况</w:t>
            </w:r>
          </w:p>
        </w:tc>
        <w:tc>
          <w:tcPr>
            <w:tcW w:w="1012" w:type="dxa"/>
          </w:tcPr>
          <w:p w:rsidR="00730434" w:rsidRDefault="00730434">
            <w:pPr>
              <w:spacing w:line="280" w:lineRule="exact"/>
              <w:rPr>
                <w:rFonts w:asciiTheme="minorEastAsia" w:eastAsiaTheme="minorEastAsia" w:hAnsiTheme="minorEastAsia" w:cstheme="minorEastAsia"/>
                <w:szCs w:val="21"/>
              </w:rPr>
            </w:pPr>
          </w:p>
        </w:tc>
        <w:tc>
          <w:tcPr>
            <w:tcW w:w="10642" w:type="dxa"/>
            <w:vAlign w:val="center"/>
          </w:tcPr>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公司管理体系自运行以来，未发生质量、环境、职业健康安全事故</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管理体系运行期间未发生顾客及相关方投诉情况</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目前没有上级主管部门对公司的在质量、环境、职业健康安全监督抽查</w:t>
            </w:r>
          </w:p>
          <w:p w:rsidR="00730434" w:rsidRDefault="00000DE2">
            <w:pPr>
              <w:pStyle w:val="a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目前公司经营过程中没有发生违反相关法律法规及其他要求的情况</w:t>
            </w:r>
          </w:p>
          <w:p w:rsidR="00730434" w:rsidRDefault="00000DE2">
            <w:pPr>
              <w:spacing w:line="440" w:lineRule="exact"/>
              <w:rPr>
                <w:rStyle w:val="info-content-text"/>
                <w:rFonts w:asciiTheme="minorEastAsia" w:eastAsiaTheme="minorEastAsia" w:hAnsiTheme="minorEastAsia" w:cstheme="minorEastAsia"/>
                <w:szCs w:val="21"/>
                <w:shd w:val="clear" w:color="auto" w:fill="FFFFFF"/>
              </w:rPr>
            </w:pPr>
            <w:r>
              <w:rPr>
                <w:rStyle w:val="info-content-text"/>
                <w:rFonts w:asciiTheme="minorEastAsia" w:eastAsiaTheme="minorEastAsia" w:hAnsiTheme="minorEastAsia" w:cstheme="minorEastAsia" w:hint="eastAsia"/>
                <w:szCs w:val="21"/>
                <w:shd w:val="clear" w:color="auto" w:fill="FFFFFF"/>
              </w:rPr>
              <w:t>不适用条款QMS：8.3不适合条款的确认理由：公司的产品销售,根据常规的销售模式进行，因此标准8.3条款“产品和服务的设计和开发”要求不适用。不适用8.3条款不影响本公司提供满足客户要求和适用法律法规要求的产品能力或责任的要求。</w:t>
            </w:r>
          </w:p>
          <w:p w:rsidR="00730434" w:rsidRDefault="00730434">
            <w:pPr>
              <w:pStyle w:val="a6"/>
              <w:rPr>
                <w:rFonts w:asciiTheme="minorEastAsia" w:eastAsiaTheme="minorEastAsia" w:hAnsiTheme="minorEastAsia" w:cstheme="minorEastAsia"/>
                <w:szCs w:val="21"/>
              </w:rPr>
            </w:pPr>
          </w:p>
        </w:tc>
        <w:tc>
          <w:tcPr>
            <w:tcW w:w="895" w:type="dxa"/>
          </w:tcPr>
          <w:p w:rsidR="00730434" w:rsidRDefault="00730434">
            <w:pPr>
              <w:rPr>
                <w:rFonts w:asciiTheme="minorEastAsia" w:eastAsiaTheme="minorEastAsia" w:hAnsiTheme="minorEastAsia" w:cstheme="minorEastAsia"/>
                <w:szCs w:val="21"/>
              </w:rPr>
            </w:pPr>
          </w:p>
        </w:tc>
      </w:tr>
    </w:tbl>
    <w:p w:rsidR="00730434" w:rsidRDefault="00000DE2">
      <w:r>
        <w:ptab w:relativeTo="margin" w:alignment="center" w:leader="none"/>
      </w:r>
    </w:p>
    <w:p w:rsidR="00730434" w:rsidRDefault="00730434"/>
    <w:p w:rsidR="00730434" w:rsidRDefault="00730434"/>
    <w:p w:rsidR="00730434" w:rsidRDefault="00000DE2">
      <w:pPr>
        <w:pStyle w:val="a5"/>
      </w:pPr>
      <w:r>
        <w:rPr>
          <w:rFonts w:hint="eastAsia"/>
        </w:rPr>
        <w:t>说明：不符合标注</w:t>
      </w:r>
      <w:r>
        <w:rPr>
          <w:rFonts w:hint="eastAsia"/>
        </w:rPr>
        <w:t>N</w:t>
      </w:r>
    </w:p>
    <w:sectPr w:rsidR="0073043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32" w:rsidRDefault="00CF4932">
      <w:r>
        <w:separator/>
      </w:r>
    </w:p>
  </w:endnote>
  <w:endnote w:type="continuationSeparator" w:id="0">
    <w:p w:rsidR="00CF4932" w:rsidRDefault="00CF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30434" w:rsidRDefault="00000DE2">
            <w:pPr>
              <w:pStyle w:val="a5"/>
              <w:jc w:val="center"/>
            </w:pPr>
            <w:r>
              <w:rPr>
                <w:b/>
                <w:sz w:val="24"/>
                <w:szCs w:val="24"/>
              </w:rPr>
              <w:fldChar w:fldCharType="begin"/>
            </w:r>
            <w:r>
              <w:rPr>
                <w:b/>
              </w:rPr>
              <w:instrText>PAGE</w:instrText>
            </w:r>
            <w:r>
              <w:rPr>
                <w:b/>
                <w:sz w:val="24"/>
                <w:szCs w:val="24"/>
              </w:rPr>
              <w:fldChar w:fldCharType="separate"/>
            </w:r>
            <w:r w:rsidR="00CF493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4932">
              <w:rPr>
                <w:b/>
                <w:noProof/>
              </w:rPr>
              <w:t>1</w:t>
            </w:r>
            <w:r>
              <w:rPr>
                <w:b/>
                <w:sz w:val="24"/>
                <w:szCs w:val="24"/>
              </w:rPr>
              <w:fldChar w:fldCharType="end"/>
            </w:r>
          </w:p>
        </w:sdtContent>
      </w:sdt>
    </w:sdtContent>
  </w:sdt>
  <w:p w:rsidR="00730434" w:rsidRDefault="007304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32" w:rsidRDefault="00CF4932">
      <w:r>
        <w:separator/>
      </w:r>
    </w:p>
  </w:footnote>
  <w:footnote w:type="continuationSeparator" w:id="0">
    <w:p w:rsidR="00CF4932" w:rsidRDefault="00CF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34" w:rsidRDefault="00000DE2">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0434" w:rsidRDefault="00CF4932">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30434" w:rsidRDefault="00000DE2">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00DE2">
      <w:rPr>
        <w:rStyle w:val="CharChar1"/>
        <w:rFonts w:hint="default"/>
        <w:w w:val="90"/>
      </w:rPr>
      <w:t>Beijing International Standard united Certification Co.,Ltd.</w:t>
    </w:r>
  </w:p>
  <w:p w:rsidR="00730434" w:rsidRDefault="00730434">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5E086"/>
    <w:multiLevelType w:val="singleLevel"/>
    <w:tmpl w:val="BB35E086"/>
    <w:lvl w:ilvl="0">
      <w:start w:val="1"/>
      <w:numFmt w:val="decimal"/>
      <w:lvlText w:val="%1."/>
      <w:lvlJc w:val="left"/>
      <w:pPr>
        <w:tabs>
          <w:tab w:val="left" w:pos="312"/>
        </w:tabs>
      </w:pPr>
    </w:lvl>
  </w:abstractNum>
  <w:abstractNum w:abstractNumId="1">
    <w:nsid w:val="621A606B"/>
    <w:multiLevelType w:val="singleLevel"/>
    <w:tmpl w:val="621A606B"/>
    <w:lvl w:ilvl="0">
      <w:start w:val="2"/>
      <w:numFmt w:val="decimal"/>
      <w:lvlText w:val="%1."/>
      <w:lvlJc w:val="left"/>
      <w:pPr>
        <w:tabs>
          <w:tab w:val="left" w:pos="312"/>
        </w:tabs>
      </w:pPr>
    </w:lvl>
  </w:abstractNum>
  <w:abstractNum w:abstractNumId="2">
    <w:nsid w:val="7F7E6985"/>
    <w:multiLevelType w:val="singleLevel"/>
    <w:tmpl w:val="7F7E6985"/>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DE2"/>
    <w:rsid w:val="000237F6"/>
    <w:rsid w:val="0003373A"/>
    <w:rsid w:val="00036757"/>
    <w:rsid w:val="00063031"/>
    <w:rsid w:val="000861C6"/>
    <w:rsid w:val="000E6BC4"/>
    <w:rsid w:val="000F2BB4"/>
    <w:rsid w:val="00102F7A"/>
    <w:rsid w:val="001946AD"/>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0115F"/>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E41CD"/>
    <w:rsid w:val="006E678B"/>
    <w:rsid w:val="006E6C19"/>
    <w:rsid w:val="00702EB2"/>
    <w:rsid w:val="007148F7"/>
    <w:rsid w:val="00730434"/>
    <w:rsid w:val="00734D4F"/>
    <w:rsid w:val="007757F3"/>
    <w:rsid w:val="0079159C"/>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91AC9"/>
    <w:rsid w:val="009973B4"/>
    <w:rsid w:val="009A6A93"/>
    <w:rsid w:val="009B5C67"/>
    <w:rsid w:val="009C28C1"/>
    <w:rsid w:val="009D1557"/>
    <w:rsid w:val="009F7EED"/>
    <w:rsid w:val="00A06FD6"/>
    <w:rsid w:val="00A10037"/>
    <w:rsid w:val="00A4239C"/>
    <w:rsid w:val="00AA0896"/>
    <w:rsid w:val="00AC393F"/>
    <w:rsid w:val="00AC6AE3"/>
    <w:rsid w:val="00AD4E0E"/>
    <w:rsid w:val="00AF0308"/>
    <w:rsid w:val="00AF0AAB"/>
    <w:rsid w:val="00B0224F"/>
    <w:rsid w:val="00B03C07"/>
    <w:rsid w:val="00B047FD"/>
    <w:rsid w:val="00B0674D"/>
    <w:rsid w:val="00B160F8"/>
    <w:rsid w:val="00B20FE2"/>
    <w:rsid w:val="00B61787"/>
    <w:rsid w:val="00BB6ACB"/>
    <w:rsid w:val="00BD0A6B"/>
    <w:rsid w:val="00BD6770"/>
    <w:rsid w:val="00BE11BF"/>
    <w:rsid w:val="00BE2194"/>
    <w:rsid w:val="00BF597E"/>
    <w:rsid w:val="00C062AE"/>
    <w:rsid w:val="00C13296"/>
    <w:rsid w:val="00C23F26"/>
    <w:rsid w:val="00C35090"/>
    <w:rsid w:val="00C360DB"/>
    <w:rsid w:val="00C51A36"/>
    <w:rsid w:val="00C55228"/>
    <w:rsid w:val="00C7523D"/>
    <w:rsid w:val="00C93528"/>
    <w:rsid w:val="00CD0AC8"/>
    <w:rsid w:val="00CE2833"/>
    <w:rsid w:val="00CE315A"/>
    <w:rsid w:val="00CF4932"/>
    <w:rsid w:val="00D06F59"/>
    <w:rsid w:val="00D17159"/>
    <w:rsid w:val="00D231E4"/>
    <w:rsid w:val="00D675BB"/>
    <w:rsid w:val="00D8388C"/>
    <w:rsid w:val="00D939C1"/>
    <w:rsid w:val="00E14414"/>
    <w:rsid w:val="00E817FC"/>
    <w:rsid w:val="00EA049F"/>
    <w:rsid w:val="00EA6EBE"/>
    <w:rsid w:val="00EB0164"/>
    <w:rsid w:val="00EB17A8"/>
    <w:rsid w:val="00EC1457"/>
    <w:rsid w:val="00EC7001"/>
    <w:rsid w:val="00ED0F62"/>
    <w:rsid w:val="00F00EFC"/>
    <w:rsid w:val="00F62E7A"/>
    <w:rsid w:val="00F77693"/>
    <w:rsid w:val="00F8791E"/>
    <w:rsid w:val="00F96918"/>
    <w:rsid w:val="00FB7B9D"/>
    <w:rsid w:val="00FC5006"/>
    <w:rsid w:val="00FE2303"/>
    <w:rsid w:val="00FF4E2A"/>
    <w:rsid w:val="02B84719"/>
    <w:rsid w:val="03640893"/>
    <w:rsid w:val="069E7BAA"/>
    <w:rsid w:val="087032D5"/>
    <w:rsid w:val="09F832E0"/>
    <w:rsid w:val="0AE65CCB"/>
    <w:rsid w:val="0B250CFE"/>
    <w:rsid w:val="0CB07CE9"/>
    <w:rsid w:val="0DB71123"/>
    <w:rsid w:val="0FB77A13"/>
    <w:rsid w:val="102A2CE8"/>
    <w:rsid w:val="108219C2"/>
    <w:rsid w:val="113656E8"/>
    <w:rsid w:val="113A015C"/>
    <w:rsid w:val="15AB31D4"/>
    <w:rsid w:val="170D1054"/>
    <w:rsid w:val="201C35DE"/>
    <w:rsid w:val="24FE116D"/>
    <w:rsid w:val="25EB74EE"/>
    <w:rsid w:val="26CA5E5A"/>
    <w:rsid w:val="275421C8"/>
    <w:rsid w:val="28491A9D"/>
    <w:rsid w:val="29C55BBF"/>
    <w:rsid w:val="2B90155C"/>
    <w:rsid w:val="2D807A3F"/>
    <w:rsid w:val="2E317B65"/>
    <w:rsid w:val="2E4E2574"/>
    <w:rsid w:val="2EC419EC"/>
    <w:rsid w:val="2EF05272"/>
    <w:rsid w:val="30A27C87"/>
    <w:rsid w:val="312266EE"/>
    <w:rsid w:val="31D80A0C"/>
    <w:rsid w:val="321C7695"/>
    <w:rsid w:val="34524295"/>
    <w:rsid w:val="34ED1C2F"/>
    <w:rsid w:val="351279DA"/>
    <w:rsid w:val="36670C81"/>
    <w:rsid w:val="36F816ED"/>
    <w:rsid w:val="39A30999"/>
    <w:rsid w:val="3BD1741F"/>
    <w:rsid w:val="3C2419DD"/>
    <w:rsid w:val="3DAC16ED"/>
    <w:rsid w:val="3E03163F"/>
    <w:rsid w:val="3E183177"/>
    <w:rsid w:val="3F7E273D"/>
    <w:rsid w:val="41C05420"/>
    <w:rsid w:val="42023579"/>
    <w:rsid w:val="45A10E92"/>
    <w:rsid w:val="46517EE6"/>
    <w:rsid w:val="47B06FC9"/>
    <w:rsid w:val="4A5F6016"/>
    <w:rsid w:val="4D2860C7"/>
    <w:rsid w:val="4DE94ACF"/>
    <w:rsid w:val="50AE1FD3"/>
    <w:rsid w:val="52447F1C"/>
    <w:rsid w:val="5A421919"/>
    <w:rsid w:val="5B270D40"/>
    <w:rsid w:val="5C9406EC"/>
    <w:rsid w:val="5D954D97"/>
    <w:rsid w:val="5EA12B9A"/>
    <w:rsid w:val="6147060A"/>
    <w:rsid w:val="61DC0836"/>
    <w:rsid w:val="62A56AD2"/>
    <w:rsid w:val="62F43393"/>
    <w:rsid w:val="677A707D"/>
    <w:rsid w:val="68B5413B"/>
    <w:rsid w:val="6991333C"/>
    <w:rsid w:val="6A403FC3"/>
    <w:rsid w:val="6CC52EB2"/>
    <w:rsid w:val="6CFB6932"/>
    <w:rsid w:val="6D2C467F"/>
    <w:rsid w:val="6E9B00C4"/>
    <w:rsid w:val="6EEF7A0A"/>
    <w:rsid w:val="71474E7E"/>
    <w:rsid w:val="71D35C2D"/>
    <w:rsid w:val="72C70F1A"/>
    <w:rsid w:val="74821EB4"/>
    <w:rsid w:val="788E02A5"/>
    <w:rsid w:val="78EE489E"/>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customStyle="1" w:styleId="a6">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qFormat/>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7A126-F759-465E-A25F-14DE1B02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1119</Words>
  <Characters>6383</Characters>
  <Application>Microsoft Office Word</Application>
  <DocSecurity>0</DocSecurity>
  <Lines>53</Lines>
  <Paragraphs>14</Paragraphs>
  <ScaleCrop>false</ScaleCrop>
  <Company>Microsoft</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60</cp:revision>
  <dcterms:created xsi:type="dcterms:W3CDTF">2015-06-17T12:51:00Z</dcterms:created>
  <dcterms:modified xsi:type="dcterms:W3CDTF">2021-04-09T05:10:00Z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