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36055" cy="9309735"/>
            <wp:effectExtent l="0" t="0" r="4445" b="12065"/>
            <wp:docPr id="2" name="图片 2" descr="新文档 2021-04-14 10.18.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14 10.18.22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930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46"/>
        <w:gridCol w:w="1207"/>
        <w:gridCol w:w="6"/>
        <w:gridCol w:w="567"/>
        <w:gridCol w:w="1242"/>
        <w:gridCol w:w="75"/>
        <w:gridCol w:w="101"/>
        <w:gridCol w:w="589"/>
        <w:gridCol w:w="261"/>
        <w:gridCol w:w="5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天津市唐盛金属制品有限公司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天津市静海区大邱庄镇庞庄子村南陈大公路西100米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唐国江</w:t>
            </w:r>
            <w:bookmarkEnd w:id="2"/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13388025658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39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022-68290806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Tgtsgszp@163.com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0541-2020-QEO</w:t>
            </w:r>
            <w:bookmarkEnd w:id="8"/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保存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Q：金属丝绳（喷涂锌丝、合金锌丝、合金锌条）的加工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E：金属丝绳（喷涂锌丝、合金锌丝、合金锌条）的加工所涉及的相关环境管理活动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O：金属丝绳（喷涂锌丝、合金锌丝、合金锌条）的加工所涉及的相关职业健康安全管理活动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2021年04月14日 上午至2021年04月14日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O:17.12.03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2020.10.20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18"/>
        <w:gridCol w:w="648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2021.4.14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目标、指标管理方案；环境因素/危险源识别评价；合规义务；法律法规要求；绩效的监视和测量；合规性评价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涉及条款：QEO6.2；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/9.1.1/9.1.2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内审；不符合和纠正措施；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/8.2/8.4/8.5.3/8.5.5/9.1.2/9.2/10.2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/>
                <w:sz w:val="21"/>
                <w:szCs w:val="21"/>
              </w:rPr>
              <w:t>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/8.1/8.3/8.5.1/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6.1.2/8.1/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67AF6"/>
    <w:rsid w:val="1F5B2145"/>
    <w:rsid w:val="53070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12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2021-04-21T02:01:25Z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818FF73E013C40DABFB06AEB5C9A4C32</vt:lpwstr>
  </property>
</Properties>
</file>