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天津和达建筑科技有限公司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b/>
          <w:color w:val="000000" w:themeColor="text1"/>
          <w:sz w:val="22"/>
          <w:szCs w:val="22"/>
        </w:rPr>
        <w:t>Tianjin Heda Construction Technology Co.</w:t>
      </w:r>
      <w:r>
        <w:rPr>
          <w:rFonts w:hint="eastAsia"/>
          <w:b/>
          <w:color w:val="000000" w:themeColor="text1"/>
          <w:sz w:val="22"/>
          <w:szCs w:val="22"/>
        </w:rPr>
        <w:t xml:space="preserve"> ,</w:t>
      </w:r>
      <w:r>
        <w:rPr>
          <w:b/>
          <w:color w:val="000000" w:themeColor="text1"/>
          <w:sz w:val="22"/>
          <w:szCs w:val="22"/>
        </w:rPr>
        <w:t xml:space="preserve">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天津市西青区大寺镇泉集里小区12-4-102</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300380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12-4-10 Quanji Li Community, Dasi Town, Xiqing District, Tianjin</w:t>
      </w:r>
    </w:p>
    <w:p>
      <w:pPr>
        <w:pStyle w:val="2"/>
        <w:spacing w:line="400" w:lineRule="exact"/>
        <w:ind w:firstLine="0"/>
        <w:rPr>
          <w:rFonts w:hint="eastAsia"/>
          <w:b/>
          <w:color w:val="0000FF"/>
          <w:sz w:val="22"/>
          <w:szCs w:val="22"/>
        </w:rPr>
      </w:pPr>
      <w:r>
        <w:rPr>
          <w:rFonts w:hint="eastAsia"/>
          <w:b/>
          <w:color w:val="0000FF"/>
          <w:spacing w:val="-2"/>
          <w:sz w:val="22"/>
          <w:szCs w:val="22"/>
          <w:lang w:eastAsia="zh-CN"/>
        </w:rPr>
        <w:t>☑</w:t>
      </w:r>
      <w:r>
        <w:rPr>
          <w:rFonts w:hint="eastAsia"/>
          <w:b/>
          <w:color w:val="0000FF"/>
          <w:sz w:val="22"/>
          <w:szCs w:val="22"/>
        </w:rPr>
        <w:t>组织经营地址(中文)：</w:t>
      </w:r>
      <w:r>
        <w:rPr>
          <w:rFonts w:hint="eastAsia"/>
          <w:b/>
          <w:color w:val="0000FF"/>
          <w:sz w:val="22"/>
          <w:szCs w:val="22"/>
          <w:lang w:val="en-US" w:eastAsia="zh-CN"/>
        </w:rPr>
        <w:t>天津市南开区凌宾路凌奥创意产业园3期B座208室</w:t>
      </w:r>
      <w:r>
        <w:rPr>
          <w:rFonts w:hint="eastAsia"/>
          <w:b/>
          <w:color w:val="0000FF"/>
          <w:sz w:val="22"/>
          <w:szCs w:val="22"/>
        </w:rPr>
        <w:t xml:space="preserve"> 邮编:</w:t>
      </w:r>
      <w:bookmarkStart w:id="4" w:name="生产邮编"/>
      <w:r>
        <w:rPr>
          <w:rFonts w:hint="eastAsia"/>
          <w:b/>
          <w:color w:val="0000FF"/>
          <w:sz w:val="22"/>
          <w:szCs w:val="22"/>
        </w:rPr>
        <w:t>300</w:t>
      </w:r>
      <w:r>
        <w:rPr>
          <w:rFonts w:hint="eastAsia"/>
          <w:b/>
          <w:color w:val="0000FF"/>
          <w:sz w:val="22"/>
          <w:szCs w:val="22"/>
          <w:lang w:val="en-US" w:eastAsia="zh-CN"/>
        </w:rPr>
        <w:t>00</w:t>
      </w:r>
      <w:r>
        <w:rPr>
          <w:rFonts w:hint="eastAsia"/>
          <w:b/>
          <w:color w:val="0000FF"/>
          <w:sz w:val="22"/>
          <w:szCs w:val="22"/>
        </w:rPr>
        <w:t>0</w:t>
      </w:r>
      <w:bookmarkEnd w:id="4"/>
    </w:p>
    <w:p>
      <w:pPr>
        <w:pStyle w:val="2"/>
        <w:spacing w:line="400" w:lineRule="exact"/>
        <w:ind w:firstLine="632" w:firstLineChars="286"/>
        <w:rPr>
          <w:b/>
          <w:color w:val="0000FF"/>
          <w:sz w:val="22"/>
          <w:szCs w:val="22"/>
          <w:u w:val="single"/>
        </w:rPr>
      </w:pPr>
      <w:r>
        <w:rPr>
          <w:rFonts w:hint="eastAsia"/>
          <w:b/>
          <w:color w:val="0000FF"/>
          <w:sz w:val="22"/>
          <w:szCs w:val="22"/>
        </w:rPr>
        <w:t>(英文)：Room 208, block B, phase 3, Lingao Creative Industrial Park, Lingbin Road, Nankai District, Tianjin</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91120111083004284M</w:t>
      </w:r>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13864260931</w:t>
      </w:r>
      <w:bookmarkEnd w:id="7"/>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张凌</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9" w:name="管理者代表"/>
      <w:r>
        <w:rPr>
          <w:rFonts w:hint="eastAsia"/>
          <w:b/>
          <w:color w:val="000000" w:themeColor="text1"/>
          <w:sz w:val="22"/>
          <w:szCs w:val="22"/>
        </w:rPr>
        <w:t>马经理</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0" w:name="企业人数"/>
      <w:r>
        <w:rPr>
          <w:b/>
          <w:color w:val="000000" w:themeColor="text1"/>
          <w:sz w:val="22"/>
          <w:szCs w:val="22"/>
        </w:rPr>
        <w:t>10</w:t>
      </w:r>
      <w:bookmarkEnd w:id="10"/>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Q：GB/T19001-2016/ISO9001:2015,</w:t>
      </w:r>
    </w:p>
    <w:p>
      <w:pPr>
        <w:pStyle w:val="2"/>
        <w:spacing w:line="240" w:lineRule="auto"/>
        <w:ind w:firstLine="1104" w:firstLineChars="50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E：GB/T 24001-2016/ISO14001:2015,</w:t>
      </w:r>
    </w:p>
    <w:p>
      <w:pPr>
        <w:pStyle w:val="2"/>
        <w:spacing w:line="240" w:lineRule="auto"/>
        <w:ind w:firstLine="1104" w:firstLineChars="50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O：GB/T45001-2020 / ISO45001：2018</w:t>
      </w:r>
      <w:bookmarkEnd w:id="11"/>
    </w:p>
    <w:p>
      <w:pPr>
        <w:pStyle w:val="2"/>
        <w:spacing w:line="240" w:lineRule="auto"/>
        <w:ind w:left="0" w:leftChars="0" w:firstLine="0" w:firstLineChars="0"/>
        <w:rPr>
          <w:rFonts w:hint="eastAsia" w:ascii="宋体" w:hAnsi="宋体" w:eastAsia="宋体"/>
          <w:b/>
          <w:color w:val="000000" w:themeColor="text1"/>
          <w:sz w:val="22"/>
          <w:szCs w:val="22"/>
          <w:u w:val="single"/>
          <w:lang w:eastAsia="zh-CN"/>
        </w:rPr>
      </w:pPr>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Q:二阶段,E:二阶段,O:二阶段</w:t>
      </w:r>
      <w:bookmarkEnd w:id="12"/>
      <w:r>
        <w:rPr>
          <w:rFonts w:hint="eastAsia"/>
          <w:b/>
          <w:color w:val="000000" w:themeColor="text1"/>
          <w:spacing w:val="-2"/>
          <w:sz w:val="22"/>
          <w:szCs w:val="22"/>
          <w:lang w:eastAsia="zh-CN"/>
        </w:rPr>
        <w:t>（</w:t>
      </w:r>
      <w:r>
        <w:rPr>
          <w:rFonts w:hint="eastAsia"/>
          <w:b/>
          <w:color w:val="000000" w:themeColor="text1"/>
          <w:spacing w:val="-2"/>
          <w:sz w:val="22"/>
          <w:szCs w:val="22"/>
          <w:lang w:val="en-US" w:eastAsia="zh-CN"/>
        </w:rPr>
        <w:t>补充</w:t>
      </w:r>
      <w:r>
        <w:rPr>
          <w:rFonts w:hint="eastAsia"/>
          <w:b/>
          <w:color w:val="000000" w:themeColor="text1"/>
          <w:spacing w:val="-2"/>
          <w:sz w:val="22"/>
          <w:szCs w:val="22"/>
          <w:lang w:eastAsia="zh-CN"/>
        </w:rPr>
        <w:t>）</w:t>
      </w:r>
    </w:p>
    <w:p>
      <w:pPr>
        <w:pStyle w:val="2"/>
        <w:spacing w:line="360" w:lineRule="exact"/>
        <w:ind w:firstLine="0"/>
        <w:rPr>
          <w:b/>
          <w:color w:val="000000" w:themeColor="text1"/>
          <w:sz w:val="22"/>
          <w:szCs w:val="22"/>
        </w:rPr>
      </w:pPr>
      <w:r>
        <w:rPr>
          <w:rFonts w:hint="eastAsia"/>
          <w:b/>
          <w:color w:val="000000" w:themeColor="text1"/>
          <w:sz w:val="22"/>
          <w:szCs w:val="22"/>
        </w:rPr>
        <w:t>变更内容：</w:t>
      </w:r>
      <w:r>
        <w:rPr>
          <w:rFonts w:hint="eastAsia"/>
          <w:b/>
          <w:color w:val="000000" w:themeColor="text1"/>
          <w:sz w:val="22"/>
          <w:szCs w:val="22"/>
          <w:lang w:eastAsia="zh-CN"/>
        </w:rPr>
        <w:t>☑</w:t>
      </w:r>
      <w:r>
        <w:rPr>
          <w:rFonts w:hint="eastAsia"/>
          <w:b/>
          <w:color w:val="000000" w:themeColor="text1"/>
          <w:sz w:val="22"/>
          <w:szCs w:val="22"/>
        </w:rPr>
        <w:t>组织名称变更□地址变更□认证范围变更（□扩大□缩小）</w:t>
      </w:r>
    </w:p>
    <w:p>
      <w:pPr>
        <w:pStyle w:val="2"/>
        <w:spacing w:line="240" w:lineRule="auto"/>
        <w:ind w:firstLine="0"/>
        <w:rPr>
          <w:b/>
          <w:color w:val="000000" w:themeColor="text1"/>
          <w:sz w:val="22"/>
          <w:szCs w:val="22"/>
        </w:rPr>
      </w:pPr>
      <w:bookmarkStart w:id="13" w:name="审核范围"/>
      <w:r>
        <w:rPr>
          <w:rFonts w:hint="eastAsia"/>
          <w:b/>
          <w:color w:val="000000" w:themeColor="text1"/>
          <w:sz w:val="22"/>
          <w:szCs w:val="22"/>
        </w:rPr>
        <w:t>Q：环境保护（土壤监测、环境评估、场地环境调查）、合理用能评估的技术服务</w:t>
      </w:r>
    </w:p>
    <w:p>
      <w:pPr>
        <w:pStyle w:val="2"/>
        <w:spacing w:line="240" w:lineRule="auto"/>
        <w:ind w:firstLine="0"/>
        <w:rPr>
          <w:color w:val="000000" w:themeColor="text1"/>
          <w:sz w:val="22"/>
          <w:szCs w:val="22"/>
        </w:rPr>
      </w:pPr>
      <w:r>
        <w:rPr>
          <w:rFonts w:hint="eastAsia"/>
          <w:color w:val="000000" w:themeColor="text1"/>
          <w:sz w:val="22"/>
          <w:szCs w:val="22"/>
        </w:rPr>
        <w:t>Technical services for environmental protection (soil monitoring, environmental assessment, site environmental investigation and rational energy use assessment）</w:t>
      </w:r>
    </w:p>
    <w:p>
      <w:pPr>
        <w:pStyle w:val="2"/>
        <w:spacing w:line="240" w:lineRule="auto"/>
        <w:ind w:firstLine="0"/>
        <w:rPr>
          <w:b/>
          <w:color w:val="000000" w:themeColor="text1"/>
          <w:sz w:val="22"/>
          <w:szCs w:val="22"/>
        </w:rPr>
      </w:pPr>
      <w:r>
        <w:rPr>
          <w:rFonts w:hint="eastAsia"/>
          <w:b/>
          <w:color w:val="000000" w:themeColor="text1"/>
          <w:sz w:val="22"/>
          <w:szCs w:val="22"/>
        </w:rPr>
        <w:t>E：环境保护（土壤监测、环境评估、场地环境调查）、合理用能评估的技术服务及相关环境管理活动</w:t>
      </w:r>
    </w:p>
    <w:p>
      <w:pPr>
        <w:pStyle w:val="2"/>
        <w:spacing w:line="240" w:lineRule="auto"/>
        <w:ind w:firstLine="0"/>
        <w:rPr>
          <w:color w:val="000000" w:themeColor="text1"/>
          <w:sz w:val="22"/>
          <w:szCs w:val="22"/>
        </w:rPr>
      </w:pPr>
      <w:r>
        <w:rPr>
          <w:bCs/>
          <w:sz w:val="21"/>
          <w:szCs w:val="21"/>
        </w:rPr>
        <w:t>The Relative Environment Management Activities about</w:t>
      </w:r>
      <w:r>
        <w:rPr>
          <w:rFonts w:hint="eastAsia"/>
          <w:bCs/>
          <w:sz w:val="21"/>
          <w:szCs w:val="21"/>
        </w:rPr>
        <w:t xml:space="preserve"> </w:t>
      </w:r>
      <w:r>
        <w:rPr>
          <w:rFonts w:hint="eastAsia"/>
          <w:color w:val="000000" w:themeColor="text1"/>
          <w:sz w:val="22"/>
          <w:szCs w:val="22"/>
        </w:rPr>
        <w:t>technical services for environmental protection (soil monitoring, environmental assessment, site environmental investigation and rational energy use assessment）</w:t>
      </w:r>
    </w:p>
    <w:p>
      <w:pPr>
        <w:pStyle w:val="2"/>
        <w:spacing w:line="240" w:lineRule="auto"/>
        <w:ind w:firstLine="0"/>
        <w:rPr>
          <w:b/>
          <w:color w:val="000000" w:themeColor="text1"/>
          <w:sz w:val="22"/>
          <w:szCs w:val="22"/>
        </w:rPr>
      </w:pPr>
      <w:r>
        <w:rPr>
          <w:rFonts w:hint="eastAsia"/>
          <w:b/>
          <w:color w:val="000000" w:themeColor="text1"/>
          <w:sz w:val="22"/>
          <w:szCs w:val="22"/>
        </w:rPr>
        <w:t>O：环境保护（土壤监测、环境评估、场地环境调查）、合理用能评估的技术服务及相关职业健康安全管理活动</w:t>
      </w:r>
      <w:bookmarkEnd w:id="13"/>
      <w:bookmarkStart w:id="14" w:name="审核范围英"/>
    </w:p>
    <w:p>
      <w:pPr>
        <w:pStyle w:val="2"/>
        <w:spacing w:line="240" w:lineRule="auto"/>
        <w:ind w:firstLine="0"/>
        <w:rPr>
          <w:color w:val="000000" w:themeColor="text1"/>
          <w:sz w:val="22"/>
          <w:szCs w:val="22"/>
        </w:rPr>
      </w:pPr>
      <w:r>
        <w:rPr>
          <w:bCs/>
          <w:sz w:val="21"/>
          <w:szCs w:val="21"/>
        </w:rPr>
        <w:t>The Relative Occupational Health Safety Management Activities about</w:t>
      </w:r>
      <w:r>
        <w:rPr>
          <w:rFonts w:hint="eastAsia"/>
          <w:color w:val="000000" w:themeColor="text1"/>
          <w:sz w:val="22"/>
          <w:szCs w:val="22"/>
        </w:rPr>
        <w:t xml:space="preserve"> technical services for environmental protection (soil monitoring, environmental assessment, site environmental investigation and rational energy use assessment）</w:t>
      </w:r>
    </w:p>
    <w:bookmarkEnd w:id="14"/>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70930" cy="8862695"/>
            <wp:effectExtent l="0" t="0" r="1270" b="1905"/>
            <wp:docPr id="2" name="图片 2" descr="新文档 2021-04-13 14.14.1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1-04-13 14.14.16_2"/>
                    <pic:cNvPicPr>
                      <a:picLocks noChangeAspect="1"/>
                    </pic:cNvPicPr>
                  </pic:nvPicPr>
                  <pic:blipFill>
                    <a:blip r:embed="rId5"/>
                    <a:stretch>
                      <a:fillRect/>
                    </a:stretch>
                  </pic:blipFill>
                  <pic:spPr>
                    <a:xfrm>
                      <a:off x="0" y="0"/>
                      <a:ext cx="6170930" cy="8862695"/>
                    </a:xfrm>
                    <a:prstGeom prst="rect">
                      <a:avLst/>
                    </a:prstGeom>
                  </pic:spPr>
                </pic:pic>
              </a:graphicData>
            </a:graphic>
          </wp:inline>
        </w:drawing>
      </w:r>
      <w:bookmarkStart w:id="15" w:name="_GoBack"/>
      <w:bookmarkEnd w:id="15"/>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1025" o:spid="_x0000_s1025"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1026" o:spid="_x0000_s1026"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4CD47"/>
    <w:multiLevelType w:val="singleLevel"/>
    <w:tmpl w:val="0884CD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
      <o:rules v:ext="edit">
        <o:r id="V:Rule1" type="connector" idref="#_x0000_s1026"/>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22466"/>
    <w:rsid w:val="0015791C"/>
    <w:rsid w:val="00182C34"/>
    <w:rsid w:val="0031798F"/>
    <w:rsid w:val="00563879"/>
    <w:rsid w:val="00722466"/>
    <w:rsid w:val="00986502"/>
    <w:rsid w:val="00987D27"/>
    <w:rsid w:val="31763712"/>
    <w:rsid w:val="503908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256</Words>
  <Characters>1462</Characters>
  <Lines>12</Lines>
  <Paragraphs>3</Paragraphs>
  <TotalTime>3</TotalTime>
  <ScaleCrop>false</ScaleCrop>
  <LinksUpToDate>false</LinksUpToDate>
  <CharactersWithSpaces>1715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2021-04-13T08:18:18Z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789224BF89154EB9B7F9C21983E53728</vt:lpwstr>
  </property>
</Properties>
</file>