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重庆曼豪商贸有限公司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106"/>
        <w:gridCol w:w="1593"/>
        <w:gridCol w:w="2531"/>
        <w:gridCol w:w="298"/>
        <w:gridCol w:w="850"/>
        <w:gridCol w:w="11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06" w:type="dxa"/>
            <w:vAlign w:val="center"/>
          </w:tcPr>
          <w:p>
            <w:pPr>
              <w:jc w:val="center"/>
              <w:rPr>
                <w:b/>
                <w:sz w:val="21"/>
                <w:szCs w:val="21"/>
              </w:rPr>
            </w:pPr>
            <w:r>
              <w:rPr>
                <w:rFonts w:hint="eastAsia"/>
                <w:b/>
                <w:sz w:val="21"/>
                <w:szCs w:val="21"/>
              </w:rPr>
              <w:t>职务</w:t>
            </w:r>
          </w:p>
        </w:tc>
        <w:tc>
          <w:tcPr>
            <w:tcW w:w="1593" w:type="dxa"/>
            <w:vAlign w:val="center"/>
          </w:tcPr>
          <w:p>
            <w:pPr>
              <w:jc w:val="center"/>
              <w:rPr>
                <w:b/>
                <w:sz w:val="21"/>
                <w:szCs w:val="21"/>
              </w:rPr>
            </w:pPr>
            <w:r>
              <w:rPr>
                <w:rFonts w:hint="eastAsia"/>
                <w:b/>
                <w:sz w:val="21"/>
                <w:szCs w:val="21"/>
              </w:rPr>
              <w:t>注册级别</w:t>
            </w:r>
          </w:p>
        </w:tc>
        <w:tc>
          <w:tcPr>
            <w:tcW w:w="2531" w:type="dxa"/>
            <w:vAlign w:val="center"/>
          </w:tcPr>
          <w:p>
            <w:pPr>
              <w:jc w:val="center"/>
              <w:rPr>
                <w:b/>
                <w:sz w:val="21"/>
                <w:szCs w:val="21"/>
              </w:rPr>
            </w:pPr>
            <w:r>
              <w:rPr>
                <w:rFonts w:hint="eastAsia"/>
                <w:b/>
                <w:sz w:val="21"/>
                <w:szCs w:val="21"/>
              </w:rPr>
              <w:t>审核员注册号</w:t>
            </w:r>
          </w:p>
        </w:tc>
        <w:tc>
          <w:tcPr>
            <w:tcW w:w="1265" w:type="dxa"/>
            <w:gridSpan w:val="3"/>
            <w:vAlign w:val="center"/>
          </w:tcPr>
          <w:p>
            <w:pPr>
              <w:jc w:val="center"/>
              <w:rPr>
                <w:b/>
                <w:sz w:val="21"/>
                <w:szCs w:val="21"/>
              </w:rPr>
            </w:pPr>
            <w:r>
              <w:rPr>
                <w:rFonts w:hint="eastAsia"/>
                <w:b/>
                <w:sz w:val="21"/>
                <w:szCs w:val="21"/>
              </w:rPr>
              <w:t>专业代码</w:t>
            </w:r>
          </w:p>
        </w:tc>
        <w:tc>
          <w:tcPr>
            <w:tcW w:w="1497"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106" w:type="dxa"/>
            <w:vAlign w:val="center"/>
          </w:tcPr>
          <w:p>
            <w:pPr>
              <w:jc w:val="center"/>
              <w:rPr>
                <w:b/>
                <w:sz w:val="21"/>
                <w:szCs w:val="21"/>
              </w:rPr>
            </w:pPr>
            <w:r>
              <w:rPr>
                <w:b/>
                <w:sz w:val="21"/>
                <w:szCs w:val="21"/>
              </w:rPr>
              <w:t>组长</w:t>
            </w:r>
          </w:p>
        </w:tc>
        <w:tc>
          <w:tcPr>
            <w:tcW w:w="1593"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31" w:type="dxa"/>
            <w:vAlign w:val="center"/>
          </w:tcPr>
          <w:p>
            <w:pPr>
              <w:jc w:val="center"/>
              <w:rPr>
                <w:b/>
                <w:sz w:val="21"/>
                <w:szCs w:val="21"/>
              </w:rPr>
            </w:pPr>
            <w:r>
              <w:rPr>
                <w:b/>
                <w:sz w:val="21"/>
                <w:szCs w:val="21"/>
              </w:rPr>
              <w:t>2019-N1QMS-3093566</w:t>
            </w:r>
          </w:p>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265" w:type="dxa"/>
            <w:gridSpan w:val="3"/>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497"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106" w:type="dxa"/>
            <w:vAlign w:val="center"/>
          </w:tcPr>
          <w:p>
            <w:pPr>
              <w:jc w:val="center"/>
              <w:rPr>
                <w:b/>
                <w:sz w:val="21"/>
                <w:szCs w:val="21"/>
              </w:rPr>
            </w:pPr>
            <w:r>
              <w:rPr>
                <w:b/>
                <w:sz w:val="21"/>
                <w:szCs w:val="21"/>
              </w:rPr>
              <w:t>组员</w:t>
            </w:r>
          </w:p>
        </w:tc>
        <w:tc>
          <w:tcPr>
            <w:tcW w:w="1593"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2531" w:type="dxa"/>
            <w:vAlign w:val="center"/>
          </w:tcPr>
          <w:p>
            <w:pPr>
              <w:jc w:val="center"/>
              <w:rPr>
                <w:b/>
                <w:sz w:val="21"/>
                <w:szCs w:val="21"/>
              </w:rPr>
            </w:pPr>
            <w:r>
              <w:rPr>
                <w:b/>
                <w:sz w:val="21"/>
                <w:szCs w:val="21"/>
              </w:rPr>
              <w:t>2018-N1QMS-2207381</w:t>
            </w:r>
          </w:p>
          <w:p>
            <w:pPr>
              <w:jc w:val="center"/>
              <w:rPr>
                <w:b/>
                <w:sz w:val="21"/>
                <w:szCs w:val="21"/>
              </w:rPr>
            </w:pPr>
            <w:r>
              <w:rPr>
                <w:b/>
                <w:sz w:val="21"/>
                <w:szCs w:val="21"/>
              </w:rPr>
              <w:t>2020-N0EMS-1207381</w:t>
            </w:r>
          </w:p>
        </w:tc>
        <w:tc>
          <w:tcPr>
            <w:tcW w:w="1265" w:type="dxa"/>
            <w:gridSpan w:val="3"/>
            <w:vAlign w:val="center"/>
          </w:tcPr>
          <w:p>
            <w:pPr>
              <w:jc w:val="center"/>
              <w:rPr>
                <w:b/>
                <w:sz w:val="21"/>
                <w:szCs w:val="21"/>
              </w:rPr>
            </w:pPr>
            <w:r>
              <w:rPr>
                <w:b/>
                <w:sz w:val="21"/>
                <w:szCs w:val="21"/>
              </w:rPr>
              <w:t>Q:29.12.00</w:t>
            </w:r>
          </w:p>
          <w:p>
            <w:pPr>
              <w:jc w:val="center"/>
              <w:rPr>
                <w:b/>
                <w:sz w:val="21"/>
                <w:szCs w:val="21"/>
              </w:rPr>
            </w:pPr>
            <w:r>
              <w:rPr>
                <w:b/>
                <w:sz w:val="21"/>
                <w:szCs w:val="21"/>
              </w:rPr>
              <w:t>E:29.12.00</w:t>
            </w:r>
          </w:p>
        </w:tc>
        <w:tc>
          <w:tcPr>
            <w:tcW w:w="1497"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106" w:type="dxa"/>
            <w:vAlign w:val="center"/>
          </w:tcPr>
          <w:p>
            <w:pPr>
              <w:jc w:val="center"/>
              <w:rPr>
                <w:b/>
                <w:sz w:val="21"/>
                <w:szCs w:val="21"/>
              </w:rPr>
            </w:pPr>
            <w:r>
              <w:rPr>
                <w:b/>
                <w:sz w:val="21"/>
                <w:szCs w:val="21"/>
              </w:rPr>
              <w:t>组员</w:t>
            </w:r>
          </w:p>
        </w:tc>
        <w:tc>
          <w:tcPr>
            <w:tcW w:w="1593"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531"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265" w:type="dxa"/>
            <w:gridSpan w:val="3"/>
            <w:vAlign w:val="center"/>
          </w:tcPr>
          <w:p>
            <w:pPr>
              <w:jc w:val="center"/>
              <w:rPr>
                <w:b/>
                <w:sz w:val="21"/>
                <w:szCs w:val="21"/>
              </w:rPr>
            </w:pPr>
          </w:p>
        </w:tc>
        <w:tc>
          <w:tcPr>
            <w:tcW w:w="1497"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卢静</w:t>
            </w:r>
          </w:p>
        </w:tc>
        <w:tc>
          <w:tcPr>
            <w:tcW w:w="824" w:type="dxa"/>
            <w:gridSpan w:val="2"/>
            <w:vAlign w:val="center"/>
          </w:tcPr>
          <w:p>
            <w:pPr>
              <w:jc w:val="center"/>
              <w:rPr>
                <w:b/>
                <w:sz w:val="21"/>
                <w:szCs w:val="21"/>
              </w:rPr>
            </w:pPr>
            <w:r>
              <w:rPr>
                <w:b/>
                <w:sz w:val="21"/>
                <w:szCs w:val="21"/>
              </w:rPr>
              <w:t>女</w:t>
            </w:r>
          </w:p>
        </w:tc>
        <w:tc>
          <w:tcPr>
            <w:tcW w:w="1106" w:type="dxa"/>
            <w:vAlign w:val="center"/>
          </w:tcPr>
          <w:p>
            <w:pPr>
              <w:jc w:val="center"/>
              <w:rPr>
                <w:b/>
                <w:sz w:val="21"/>
                <w:szCs w:val="21"/>
              </w:rPr>
            </w:pPr>
            <w:r>
              <w:rPr>
                <w:b/>
                <w:sz w:val="21"/>
                <w:szCs w:val="21"/>
              </w:rPr>
              <w:t>组员</w:t>
            </w:r>
          </w:p>
        </w:tc>
        <w:tc>
          <w:tcPr>
            <w:tcW w:w="1593" w:type="dxa"/>
            <w:vAlign w:val="center"/>
          </w:tcPr>
          <w:p>
            <w:pPr>
              <w:jc w:val="center"/>
              <w:rPr>
                <w:b/>
                <w:sz w:val="21"/>
                <w:szCs w:val="21"/>
              </w:rPr>
            </w:pPr>
            <w:r>
              <w:rPr>
                <w:b/>
                <w:sz w:val="21"/>
                <w:szCs w:val="21"/>
              </w:rPr>
              <w:t>Q:专家</w:t>
            </w:r>
          </w:p>
          <w:p>
            <w:pPr>
              <w:jc w:val="center"/>
              <w:rPr>
                <w:b/>
                <w:sz w:val="21"/>
                <w:szCs w:val="21"/>
              </w:rPr>
            </w:pPr>
            <w:r>
              <w:rPr>
                <w:b/>
                <w:sz w:val="21"/>
                <w:szCs w:val="21"/>
              </w:rPr>
              <w:t>E:专家</w:t>
            </w:r>
          </w:p>
          <w:p>
            <w:pPr>
              <w:jc w:val="center"/>
              <w:rPr>
                <w:b/>
                <w:sz w:val="21"/>
                <w:szCs w:val="21"/>
              </w:rPr>
            </w:pPr>
            <w:r>
              <w:rPr>
                <w:b/>
                <w:sz w:val="21"/>
                <w:szCs w:val="21"/>
              </w:rPr>
              <w:t>O:专家</w:t>
            </w:r>
          </w:p>
        </w:tc>
        <w:tc>
          <w:tcPr>
            <w:tcW w:w="2531" w:type="dxa"/>
            <w:vAlign w:val="center"/>
          </w:tcPr>
          <w:p>
            <w:pPr>
              <w:jc w:val="center"/>
              <w:rPr>
                <w:b/>
                <w:sz w:val="21"/>
                <w:szCs w:val="21"/>
              </w:rPr>
            </w:pPr>
            <w:r>
              <w:rPr>
                <w:b/>
                <w:sz w:val="21"/>
                <w:szCs w:val="21"/>
              </w:rPr>
              <w:t>重庆磊阔商贸有限公司</w:t>
            </w:r>
          </w:p>
        </w:tc>
        <w:tc>
          <w:tcPr>
            <w:tcW w:w="1265" w:type="dxa"/>
            <w:gridSpan w:val="3"/>
            <w:vAlign w:val="center"/>
          </w:tcPr>
          <w:p>
            <w:pPr>
              <w:jc w:val="center"/>
              <w:rPr>
                <w:b/>
                <w:sz w:val="21"/>
                <w:szCs w:val="21"/>
              </w:rPr>
            </w:pPr>
            <w:r>
              <w:rPr>
                <w:b/>
                <w:sz w:val="21"/>
                <w:szCs w:val="21"/>
              </w:rPr>
              <w:t>Q:04.04.07</w:t>
            </w:r>
          </w:p>
          <w:p>
            <w:pPr>
              <w:jc w:val="center"/>
              <w:rPr>
                <w:b/>
                <w:sz w:val="21"/>
                <w:szCs w:val="21"/>
              </w:rPr>
            </w:pPr>
            <w:r>
              <w:rPr>
                <w:b/>
                <w:sz w:val="21"/>
                <w:szCs w:val="21"/>
              </w:rPr>
              <w:t>E:04.04.07</w:t>
            </w:r>
          </w:p>
          <w:p>
            <w:pPr>
              <w:jc w:val="center"/>
              <w:rPr>
                <w:b/>
                <w:sz w:val="21"/>
                <w:szCs w:val="21"/>
              </w:rPr>
            </w:pPr>
            <w:r>
              <w:rPr>
                <w:b/>
                <w:sz w:val="21"/>
                <w:szCs w:val="21"/>
              </w:rPr>
              <w:t>O:04.04.07</w:t>
            </w:r>
          </w:p>
        </w:tc>
        <w:tc>
          <w:tcPr>
            <w:tcW w:w="1497" w:type="dxa"/>
            <w:vAlign w:val="center"/>
          </w:tcPr>
          <w:p>
            <w:pPr>
              <w:jc w:val="center"/>
              <w:rPr>
                <w:b/>
                <w:sz w:val="21"/>
                <w:szCs w:val="21"/>
              </w:rPr>
            </w:pPr>
            <w:r>
              <w:rPr>
                <w:b/>
                <w:sz w:val="21"/>
                <w:szCs w:val="21"/>
              </w:rPr>
              <w:t>ISC-JSZJ-028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06" w:type="dxa"/>
            <w:vAlign w:val="center"/>
          </w:tcPr>
          <w:p>
            <w:pPr>
              <w:jc w:val="center"/>
              <w:rPr>
                <w:b/>
                <w:sz w:val="21"/>
                <w:szCs w:val="21"/>
              </w:rPr>
            </w:pPr>
            <w:r>
              <w:rPr>
                <w:rFonts w:hint="eastAsia"/>
                <w:b/>
                <w:sz w:val="21"/>
                <w:szCs w:val="21"/>
              </w:rPr>
              <w:t>角色</w:t>
            </w:r>
          </w:p>
        </w:tc>
        <w:tc>
          <w:tcPr>
            <w:tcW w:w="6886"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106" w:type="dxa"/>
            <w:vAlign w:val="center"/>
          </w:tcPr>
          <w:p>
            <w:pPr>
              <w:jc w:val="center"/>
              <w:rPr>
                <w:b/>
                <w:sz w:val="21"/>
                <w:szCs w:val="21"/>
              </w:rPr>
            </w:pPr>
          </w:p>
        </w:tc>
        <w:tc>
          <w:tcPr>
            <w:tcW w:w="6886"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u w:val="single"/>
        </w:rPr>
      </w:pPr>
      <w:r>
        <w:rPr>
          <w:rFonts w:hint="eastAsia"/>
          <w:b/>
          <w:sz w:val="21"/>
          <w:szCs w:val="21"/>
          <w:lang w:eastAsia="zh-CN"/>
        </w:rPr>
        <w:t>■</w:t>
      </w:r>
      <w:r>
        <w:rPr>
          <w:rFonts w:hint="eastAsia"/>
          <w:b/>
          <w:sz w:val="21"/>
          <w:szCs w:val="21"/>
        </w:rPr>
        <w:t>保持认证注册资格：__</w:t>
      </w:r>
      <w:bookmarkStart w:id="5" w:name="审核类型"/>
      <w:r>
        <w:rPr>
          <w:rFonts w:hint="eastAsia" w:ascii="宋体" w:hAnsi="宋体"/>
          <w:b/>
          <w:bCs/>
          <w:sz w:val="20"/>
          <w:u w:val="single"/>
        </w:rPr>
        <w:t>Q:监查1,E:监查1,O:监查1</w:t>
      </w:r>
      <w:bookmarkEnd w:id="5"/>
      <w:r>
        <w:rPr>
          <w:rFonts w:hint="eastAsia"/>
          <w:b/>
          <w:sz w:val="21"/>
          <w:szCs w:val="21"/>
          <w:u w:val="single"/>
        </w:rPr>
        <w:t>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w:t>
      </w:r>
      <w:r>
        <w:rPr>
          <w:rFonts w:hint="eastAsia"/>
          <w:b/>
          <w:sz w:val="21"/>
          <w:szCs w:val="21"/>
          <w:lang w:val="en-US" w:eastAsia="zh-CN"/>
        </w:rPr>
        <w:t xml:space="preserve"> </w:t>
      </w:r>
      <w:r>
        <w:rPr>
          <w:rFonts w:hint="eastAsia"/>
          <w:b/>
          <w:sz w:val="21"/>
          <w:szCs w:val="21"/>
        </w:rPr>
        <w:t>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A3"/>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982"/>
        <w:gridCol w:w="2312"/>
        <w:gridCol w:w="928"/>
        <w:gridCol w:w="1189"/>
        <w:gridCol w:w="567"/>
        <w:gridCol w:w="971"/>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23"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29" w:type="dxa"/>
            <w:gridSpan w:val="3"/>
          </w:tcPr>
          <w:p>
            <w:pPr>
              <w:spacing w:line="260" w:lineRule="exact"/>
              <w:rPr>
                <w:rFonts w:ascii="宋体"/>
                <w:b/>
                <w:color w:val="FF0000"/>
                <w:sz w:val="21"/>
              </w:rPr>
            </w:pPr>
            <w:bookmarkStart w:id="10" w:name="组织名称Add"/>
            <w:r>
              <w:rPr>
                <w:rFonts w:ascii="宋体"/>
                <w:b/>
                <w:color w:val="auto"/>
                <w:sz w:val="21"/>
              </w:rPr>
              <w:t>重庆曼豪商贸有限公司</w:t>
            </w:r>
            <w:bookmarkEnd w:id="10"/>
          </w:p>
        </w:tc>
        <w:tc>
          <w:tcPr>
            <w:tcW w:w="1538" w:type="dxa"/>
            <w:gridSpan w:val="2"/>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816" w:type="dxa"/>
          </w:tcPr>
          <w:p>
            <w:pPr>
              <w:spacing w:line="260" w:lineRule="exact"/>
              <w:rPr>
                <w:rFonts w:hint="default" w:ascii="宋体" w:eastAsia="宋体"/>
                <w:b/>
                <w:sz w:val="21"/>
                <w:lang w:val="en-US" w:eastAsia="zh-CN"/>
              </w:rPr>
            </w:pPr>
            <w:r>
              <w:rPr>
                <w:rFonts w:hint="eastAsia" w:ascii="宋体"/>
                <w:b/>
                <w:color w:val="000000" w:themeColor="text1"/>
                <w:sz w:val="21"/>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23" w:type="dxa"/>
            <w:gridSpan w:val="2"/>
            <w:vAlign w:val="center"/>
          </w:tcPr>
          <w:p>
            <w:pPr>
              <w:jc w:val="center"/>
              <w:rPr>
                <w:b/>
                <w:sz w:val="16"/>
                <w:szCs w:val="16"/>
              </w:rPr>
            </w:pPr>
            <w:r>
              <w:rPr>
                <w:rFonts w:hint="eastAsia" w:ascii="宋体" w:hAnsi="宋体"/>
                <w:b/>
                <w:sz w:val="21"/>
                <w:szCs w:val="21"/>
              </w:rPr>
              <w:t>注册地址</w:t>
            </w:r>
          </w:p>
        </w:tc>
        <w:tc>
          <w:tcPr>
            <w:tcW w:w="4429" w:type="dxa"/>
            <w:gridSpan w:val="3"/>
          </w:tcPr>
          <w:p>
            <w:pPr>
              <w:rPr>
                <w:rFonts w:ascii="宋体"/>
                <w:b/>
                <w:sz w:val="21"/>
              </w:rPr>
            </w:pPr>
            <w:bookmarkStart w:id="11" w:name="注册地址"/>
            <w:r>
              <w:rPr>
                <w:rFonts w:ascii="宋体"/>
                <w:b/>
                <w:sz w:val="21"/>
              </w:rPr>
              <w:t>重庆市江北区港安二路28号4幢6-1</w:t>
            </w:r>
            <w:bookmarkEnd w:id="11"/>
          </w:p>
        </w:tc>
        <w:tc>
          <w:tcPr>
            <w:tcW w:w="1538" w:type="dxa"/>
            <w:gridSpan w:val="2"/>
            <w:vMerge w:val="restart"/>
            <w:vAlign w:val="center"/>
          </w:tcPr>
          <w:p>
            <w:pPr>
              <w:jc w:val="center"/>
              <w:rPr>
                <w:rFonts w:ascii="宋体"/>
                <w:b/>
                <w:sz w:val="21"/>
              </w:rPr>
            </w:pPr>
            <w:r>
              <w:rPr>
                <w:rFonts w:hint="eastAsia" w:ascii="宋体" w:hAnsi="宋体"/>
                <w:b/>
                <w:sz w:val="21"/>
              </w:rPr>
              <w:t>邮编</w:t>
            </w:r>
          </w:p>
        </w:tc>
        <w:tc>
          <w:tcPr>
            <w:tcW w:w="1816" w:type="dxa"/>
          </w:tcPr>
          <w:p>
            <w:pPr>
              <w:rPr>
                <w:rFonts w:ascii="宋体"/>
                <w:b/>
                <w:sz w:val="21"/>
              </w:rPr>
            </w:pPr>
            <w:bookmarkStart w:id="12" w:name="注册邮编"/>
            <w:r>
              <w:rPr>
                <w:rFonts w:ascii="宋体"/>
                <w:b/>
                <w:sz w:val="21"/>
              </w:rPr>
              <w:t>400000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23" w:type="dxa"/>
            <w:gridSpan w:val="2"/>
            <w:vAlign w:val="center"/>
          </w:tcPr>
          <w:p>
            <w:pPr>
              <w:jc w:val="center"/>
              <w:rPr>
                <w:rFonts w:ascii="宋体"/>
                <w:b/>
                <w:sz w:val="21"/>
                <w:szCs w:val="21"/>
              </w:rPr>
            </w:pPr>
            <w:r>
              <w:rPr>
                <w:rFonts w:hint="eastAsia" w:ascii="宋体" w:hAnsi="宋体"/>
                <w:b/>
                <w:sz w:val="21"/>
                <w:szCs w:val="21"/>
              </w:rPr>
              <w:t>经营地址</w:t>
            </w:r>
          </w:p>
        </w:tc>
        <w:tc>
          <w:tcPr>
            <w:tcW w:w="4429" w:type="dxa"/>
            <w:gridSpan w:val="3"/>
          </w:tcPr>
          <w:p>
            <w:pPr>
              <w:rPr>
                <w:rFonts w:ascii="宋体"/>
                <w:b/>
                <w:sz w:val="21"/>
              </w:rPr>
            </w:pPr>
            <w:bookmarkStart w:id="13" w:name="办公地址"/>
            <w:r>
              <w:rPr>
                <w:rFonts w:ascii="宋体"/>
                <w:b/>
                <w:sz w:val="21"/>
              </w:rPr>
              <w:t>重庆市江北区红石路北部尚座A座33-11\33-2</w:t>
            </w:r>
            <w:bookmarkEnd w:id="13"/>
          </w:p>
        </w:tc>
        <w:tc>
          <w:tcPr>
            <w:tcW w:w="1538" w:type="dxa"/>
            <w:gridSpan w:val="2"/>
            <w:vMerge w:val="continue"/>
            <w:vAlign w:val="center"/>
          </w:tcPr>
          <w:p>
            <w:pPr>
              <w:jc w:val="center"/>
              <w:rPr>
                <w:rFonts w:ascii="宋体"/>
                <w:b/>
                <w:sz w:val="21"/>
              </w:rPr>
            </w:pPr>
          </w:p>
        </w:tc>
        <w:tc>
          <w:tcPr>
            <w:tcW w:w="1816" w:type="dxa"/>
          </w:tcPr>
          <w:p>
            <w:pPr>
              <w:rPr>
                <w:rFonts w:ascii="宋体"/>
                <w:b/>
                <w:sz w:val="21"/>
              </w:rPr>
            </w:pPr>
            <w:bookmarkStart w:id="14" w:name="办公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23"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29" w:type="dxa"/>
            <w:gridSpan w:val="3"/>
          </w:tcPr>
          <w:p>
            <w:pPr>
              <w:rPr>
                <w:rFonts w:ascii="宋体"/>
                <w:b/>
                <w:sz w:val="21"/>
              </w:rPr>
            </w:pPr>
            <w:bookmarkStart w:id="15" w:name="生产地址Add"/>
            <w:r>
              <w:rPr>
                <w:rFonts w:ascii="宋体"/>
                <w:b/>
                <w:sz w:val="21"/>
              </w:rPr>
              <w:t>重庆市江北区红石路北部尚座A座33-11\33-2</w:t>
            </w:r>
            <w:bookmarkEnd w:id="15"/>
          </w:p>
        </w:tc>
        <w:tc>
          <w:tcPr>
            <w:tcW w:w="1538" w:type="dxa"/>
            <w:gridSpan w:val="2"/>
            <w:vMerge w:val="continue"/>
            <w:vAlign w:val="center"/>
          </w:tcPr>
          <w:p>
            <w:pPr>
              <w:jc w:val="center"/>
              <w:rPr>
                <w:rFonts w:ascii="宋体"/>
                <w:b/>
                <w:sz w:val="21"/>
              </w:rPr>
            </w:pPr>
          </w:p>
        </w:tc>
        <w:tc>
          <w:tcPr>
            <w:tcW w:w="1816" w:type="dxa"/>
          </w:tcPr>
          <w:p>
            <w:pPr>
              <w:rPr>
                <w:rFonts w:ascii="宋体"/>
                <w:b/>
                <w:sz w:val="21"/>
              </w:rPr>
            </w:pPr>
            <w:bookmarkStart w:id="16" w:name="生产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023" w:type="dxa"/>
            <w:gridSpan w:val="2"/>
            <w:vAlign w:val="center"/>
          </w:tcPr>
          <w:p>
            <w:pPr>
              <w:jc w:val="center"/>
              <w:rPr>
                <w:rFonts w:ascii="宋体"/>
                <w:b/>
                <w:sz w:val="21"/>
              </w:rPr>
            </w:pPr>
            <w:r>
              <w:rPr>
                <w:rFonts w:hint="eastAsia" w:ascii="宋体" w:hAnsi="宋体"/>
                <w:b/>
                <w:sz w:val="21"/>
              </w:rPr>
              <w:t>联系人</w:t>
            </w:r>
          </w:p>
        </w:tc>
        <w:tc>
          <w:tcPr>
            <w:tcW w:w="2312" w:type="dxa"/>
          </w:tcPr>
          <w:p>
            <w:pPr>
              <w:rPr>
                <w:rFonts w:ascii="宋体"/>
                <w:b/>
                <w:sz w:val="21"/>
              </w:rPr>
            </w:pPr>
            <w:bookmarkStart w:id="17" w:name="联系人"/>
            <w:r>
              <w:rPr>
                <w:rFonts w:ascii="宋体"/>
                <w:b/>
                <w:sz w:val="21"/>
              </w:rPr>
              <w:t>张红</w:t>
            </w:r>
            <w:bookmarkEnd w:id="17"/>
          </w:p>
        </w:tc>
        <w:tc>
          <w:tcPr>
            <w:tcW w:w="928" w:type="dxa"/>
            <w:vAlign w:val="center"/>
          </w:tcPr>
          <w:p>
            <w:pPr>
              <w:jc w:val="center"/>
              <w:rPr>
                <w:rFonts w:ascii="宋体"/>
                <w:b/>
                <w:sz w:val="21"/>
              </w:rPr>
            </w:pPr>
            <w:r>
              <w:rPr>
                <w:rFonts w:hint="eastAsia" w:ascii="宋体" w:hAnsi="宋体"/>
                <w:b/>
                <w:sz w:val="21"/>
              </w:rPr>
              <w:t>电话</w:t>
            </w:r>
            <w:r>
              <w:rPr>
                <w:b/>
                <w:sz w:val="16"/>
                <w:szCs w:val="16"/>
              </w:rPr>
              <w:t>.</w:t>
            </w:r>
          </w:p>
        </w:tc>
        <w:tc>
          <w:tcPr>
            <w:tcW w:w="1756" w:type="dxa"/>
            <w:gridSpan w:val="2"/>
            <w:vAlign w:val="center"/>
          </w:tcPr>
          <w:p>
            <w:pPr>
              <w:jc w:val="center"/>
              <w:rPr>
                <w:rFonts w:ascii="宋体"/>
                <w:b/>
                <w:sz w:val="21"/>
              </w:rPr>
            </w:pPr>
            <w:bookmarkStart w:id="18" w:name="联系人电话Add"/>
            <w:r>
              <w:rPr>
                <w:rFonts w:ascii="宋体"/>
                <w:b/>
                <w:sz w:val="21"/>
              </w:rPr>
              <w:t>023-67756899</w:t>
            </w:r>
            <w:bookmarkEnd w:id="18"/>
          </w:p>
        </w:tc>
        <w:tc>
          <w:tcPr>
            <w:tcW w:w="971" w:type="dxa"/>
            <w:vAlign w:val="center"/>
          </w:tcPr>
          <w:p>
            <w:pPr>
              <w:jc w:val="center"/>
              <w:rPr>
                <w:rFonts w:ascii="宋体"/>
                <w:b/>
                <w:sz w:val="21"/>
              </w:rPr>
            </w:pPr>
            <w:r>
              <w:rPr>
                <w:rFonts w:hint="eastAsia" w:ascii="宋体" w:hAnsi="宋体"/>
                <w:b/>
                <w:sz w:val="21"/>
              </w:rPr>
              <w:t>传真</w:t>
            </w:r>
          </w:p>
        </w:tc>
        <w:tc>
          <w:tcPr>
            <w:tcW w:w="1816"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3"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312" w:type="dxa"/>
          </w:tcPr>
          <w:p>
            <w:pPr>
              <w:rPr>
                <w:rFonts w:ascii="宋体" w:hAnsi="宋体"/>
                <w:b/>
                <w:sz w:val="21"/>
                <w:szCs w:val="21"/>
              </w:rPr>
            </w:pPr>
            <w:bookmarkStart w:id="20" w:name="法人"/>
            <w:r>
              <w:rPr>
                <w:rFonts w:ascii="宋体" w:hAnsi="宋体"/>
                <w:b/>
                <w:sz w:val="21"/>
                <w:szCs w:val="21"/>
              </w:rPr>
              <w:t>张红</w:t>
            </w:r>
            <w:bookmarkEnd w:id="20"/>
          </w:p>
        </w:tc>
        <w:tc>
          <w:tcPr>
            <w:tcW w:w="928" w:type="dxa"/>
            <w:vAlign w:val="center"/>
          </w:tcPr>
          <w:p>
            <w:pPr>
              <w:jc w:val="center"/>
              <w:rPr>
                <w:rFonts w:ascii="宋体" w:hAnsi="宋体"/>
                <w:b/>
                <w:sz w:val="21"/>
                <w:szCs w:val="21"/>
              </w:rPr>
            </w:pPr>
            <w:r>
              <w:rPr>
                <w:rFonts w:hint="eastAsia" w:ascii="宋体" w:hAnsi="宋体"/>
                <w:b/>
                <w:sz w:val="21"/>
                <w:szCs w:val="21"/>
              </w:rPr>
              <w:t>总经理</w:t>
            </w:r>
          </w:p>
        </w:tc>
        <w:tc>
          <w:tcPr>
            <w:tcW w:w="1756" w:type="dxa"/>
            <w:gridSpan w:val="2"/>
          </w:tcPr>
          <w:p>
            <w:pPr>
              <w:rPr>
                <w:rFonts w:ascii="宋体" w:hAnsi="宋体"/>
                <w:b/>
                <w:sz w:val="21"/>
                <w:szCs w:val="21"/>
              </w:rPr>
            </w:pPr>
            <w:r>
              <w:rPr>
                <w:rFonts w:hint="eastAsia" w:ascii="宋体" w:hAnsi="宋体" w:eastAsia="宋体" w:cs="Times New Roman"/>
                <w:b/>
                <w:sz w:val="21"/>
                <w:szCs w:val="21"/>
                <w:lang w:eastAsia="zh-CN"/>
              </w:rPr>
              <w:t>张红</w:t>
            </w:r>
          </w:p>
        </w:tc>
        <w:tc>
          <w:tcPr>
            <w:tcW w:w="971" w:type="dxa"/>
            <w:vAlign w:val="center"/>
          </w:tcPr>
          <w:p>
            <w:pPr>
              <w:jc w:val="center"/>
              <w:rPr>
                <w:rFonts w:ascii="宋体" w:hAnsi="宋体"/>
                <w:b/>
                <w:sz w:val="21"/>
                <w:szCs w:val="21"/>
              </w:rPr>
            </w:pPr>
            <w:r>
              <w:rPr>
                <w:rFonts w:hint="eastAsia" w:ascii="宋体" w:hAnsi="宋体"/>
                <w:b/>
                <w:sz w:val="21"/>
                <w:szCs w:val="21"/>
              </w:rPr>
              <w:t>管理者代表</w:t>
            </w:r>
          </w:p>
        </w:tc>
        <w:tc>
          <w:tcPr>
            <w:tcW w:w="1816" w:type="dxa"/>
          </w:tcPr>
          <w:p>
            <w:pPr>
              <w:rPr>
                <w:rFonts w:ascii="宋体"/>
                <w:b/>
                <w:sz w:val="21"/>
              </w:rPr>
            </w:pPr>
            <w:bookmarkStart w:id="21" w:name="管理者代表"/>
            <w:r>
              <w:rPr>
                <w:rFonts w:ascii="宋体"/>
                <w:b/>
                <w:sz w:val="21"/>
              </w:rPr>
              <w:t>艾茂儒</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23"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240" w:type="dxa"/>
            <w:gridSpan w:val="2"/>
            <w:vAlign w:val="center"/>
          </w:tcPr>
          <w:p>
            <w:pPr>
              <w:rPr>
                <w:rFonts w:ascii="宋体" w:hAnsi="宋体"/>
                <w:b/>
                <w:sz w:val="21"/>
                <w:szCs w:val="21"/>
              </w:rPr>
            </w:pPr>
            <w:bookmarkStart w:id="22" w:name="审核日期"/>
            <w:r>
              <w:rPr>
                <w:rFonts w:ascii="宋体" w:hAnsi="宋体"/>
                <w:b/>
                <w:sz w:val="21"/>
                <w:szCs w:val="21"/>
              </w:rPr>
              <w:t>2021年04月07日 上午至2021年04月07日 下午</w:t>
            </w:r>
            <w:bookmarkEnd w:id="22"/>
          </w:p>
        </w:tc>
        <w:tc>
          <w:tcPr>
            <w:tcW w:w="1756" w:type="dxa"/>
            <w:gridSpan w:val="2"/>
            <w:vAlign w:val="center"/>
          </w:tcPr>
          <w:p>
            <w:pPr>
              <w:rPr>
                <w:rFonts w:ascii="宋体" w:hAnsi="宋体"/>
                <w:b/>
                <w:sz w:val="21"/>
                <w:szCs w:val="21"/>
              </w:rPr>
            </w:pPr>
            <w:r>
              <w:rPr>
                <w:rFonts w:hint="eastAsia" w:ascii="宋体" w:hAnsi="宋体"/>
                <w:b/>
                <w:sz w:val="21"/>
                <w:szCs w:val="21"/>
              </w:rPr>
              <w:t>一体化审核</w:t>
            </w:r>
          </w:p>
        </w:tc>
        <w:tc>
          <w:tcPr>
            <w:tcW w:w="2787" w:type="dxa"/>
            <w:gridSpan w:val="2"/>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023"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783" w:type="dxa"/>
            <w:gridSpan w:val="6"/>
          </w:tcPr>
          <w:p>
            <w:pPr>
              <w:rPr>
                <w:rFonts w:hint="eastAsia"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E勾选Add1"/>
            <w:r>
              <w:rPr>
                <w:sz w:val="20"/>
              </w:rPr>
              <w:t>加工及销售：窗帘、卷帘、隔帘；销售：服装、床上用品、家居饰品</w:t>
            </w:r>
          </w:p>
          <w:p>
            <w:pPr>
              <w:spacing w:line="360" w:lineRule="exact"/>
              <w:rPr>
                <w:rFonts w:ascii="宋体" w:hAnsi="宋体"/>
                <w:b/>
                <w:sz w:val="21"/>
                <w:szCs w:val="21"/>
              </w:rPr>
            </w:pPr>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加工及销售：窗帘、卷帘、隔帘；销售：服装、床上用品、家居饰品所涉及的相关环境管理活动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加工及销售：窗帘、卷帘、隔帘；销售：服装、床上用品、家居饰品所涉及的相关职业健康安全管理活动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982"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783"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23"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312" w:type="dxa"/>
          </w:tcPr>
          <w:p>
            <w:pPr>
              <w:spacing w:line="260" w:lineRule="exact"/>
              <w:rPr>
                <w:rFonts w:ascii="宋体" w:hAnsi="宋体"/>
                <w:b/>
                <w:sz w:val="21"/>
                <w:szCs w:val="21"/>
              </w:rPr>
            </w:pPr>
            <w:bookmarkStart w:id="26" w:name="专业代码"/>
            <w:r>
              <w:rPr>
                <w:rFonts w:ascii="宋体" w:hAnsi="宋体"/>
                <w:b/>
                <w:sz w:val="21"/>
                <w:szCs w:val="21"/>
              </w:rPr>
              <w:t>Q：04.04.07;29.12.00</w:t>
            </w:r>
          </w:p>
          <w:p>
            <w:pPr>
              <w:spacing w:line="260" w:lineRule="exact"/>
              <w:rPr>
                <w:rFonts w:ascii="宋体" w:hAnsi="宋体"/>
                <w:b/>
                <w:sz w:val="21"/>
                <w:szCs w:val="21"/>
              </w:rPr>
            </w:pPr>
            <w:r>
              <w:rPr>
                <w:rFonts w:ascii="宋体" w:hAnsi="宋体"/>
                <w:b/>
                <w:sz w:val="21"/>
                <w:szCs w:val="21"/>
              </w:rPr>
              <w:t>E：04.04.07;29.12.00</w:t>
            </w:r>
          </w:p>
          <w:p>
            <w:pPr>
              <w:spacing w:line="260" w:lineRule="exact"/>
              <w:rPr>
                <w:rFonts w:ascii="宋体" w:hAnsi="宋体"/>
                <w:b/>
                <w:sz w:val="21"/>
                <w:szCs w:val="21"/>
              </w:rPr>
            </w:pPr>
            <w:r>
              <w:rPr>
                <w:rFonts w:ascii="宋体" w:hAnsi="宋体"/>
                <w:b/>
                <w:sz w:val="21"/>
                <w:szCs w:val="21"/>
              </w:rPr>
              <w:t>O：04.04.07;29.12.00</w:t>
            </w:r>
            <w:bookmarkEnd w:id="26"/>
          </w:p>
        </w:tc>
        <w:tc>
          <w:tcPr>
            <w:tcW w:w="928"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756"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2023年03月25日</w:t>
            </w:r>
          </w:p>
        </w:tc>
        <w:tc>
          <w:tcPr>
            <w:tcW w:w="97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816" w:type="dxa"/>
          </w:tcPr>
          <w:p>
            <w:pPr>
              <w:spacing w:line="260" w:lineRule="exact"/>
              <w:rPr>
                <w:rFonts w:ascii="宋体"/>
                <w:b/>
                <w:sz w:val="21"/>
              </w:rPr>
            </w:pPr>
            <w:r>
              <w:rPr>
                <w:rFonts w:hint="eastAsia" w:ascii="宋体" w:hAnsi="宋体" w:eastAsia="宋体" w:cs="Times New Roman"/>
                <w:b/>
                <w:sz w:val="21"/>
                <w:szCs w:val="21"/>
              </w:rPr>
              <w:t>2020年03月18日下午至03月19日下午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u w:val="single"/>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u w:val="single"/>
          <w:lang w:val="en-US" w:eastAsia="zh-CN"/>
        </w:rPr>
        <w:t>2020年</w:t>
      </w:r>
      <w:r>
        <w:rPr>
          <w:rFonts w:hint="eastAsia" w:ascii="宋体" w:hAnsi="宋体" w:eastAsia="宋体" w:cs="Times New Roman"/>
          <w:b/>
          <w:sz w:val="21"/>
          <w:szCs w:val="21"/>
          <w:u w:val="single"/>
        </w:rPr>
        <w:t>03月19日</w:t>
      </w:r>
      <w:r>
        <w:rPr>
          <w:rFonts w:hint="eastAsia" w:ascii="宋体" w:hAnsi="宋体"/>
          <w:b/>
          <w:sz w:val="21"/>
          <w:szCs w:val="21"/>
          <w:u w:val="single"/>
        </w:rPr>
        <w:t>至</w:t>
      </w:r>
      <w:r>
        <w:rPr>
          <w:rFonts w:hint="eastAsia" w:ascii="宋体" w:hAnsi="宋体"/>
          <w:b/>
          <w:sz w:val="21"/>
          <w:szCs w:val="21"/>
          <w:u w:val="single"/>
          <w:lang w:val="en-US" w:eastAsia="zh-CN"/>
        </w:rPr>
        <w:t>2021年04月07日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1" w:hRule="atLeast"/>
          <w:jc w:val="center"/>
        </w:trPr>
        <w:tc>
          <w:tcPr>
            <w:tcW w:w="720" w:type="dxa"/>
            <w:vMerge w:val="restart"/>
            <w:textDirection w:val="tbRlV"/>
            <w:vAlign w:val="center"/>
          </w:tcPr>
          <w:p>
            <w:pPr>
              <w:spacing w:line="240" w:lineRule="exact"/>
              <w:ind w:left="211" w:leftChars="0" w:right="113" w:rightChars="0" w:hanging="211" w:hangingChars="100"/>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(一)策划的充分与合理性</w:t>
            </w:r>
          </w:p>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组织对内外部因素、相关方需求和期望进行了充分的识别，策划和实施有效。组织确定了体系的边界，基本适用。管理体系全条款适用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03"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z w:val="21"/>
                <w:szCs w:val="21"/>
              </w:rPr>
              <w:t>■</w:t>
            </w:r>
            <w:r>
              <w:rPr>
                <w:rFonts w:hint="eastAsia" w:ascii="宋体" w:hAnsi="宋体"/>
                <w:b/>
                <w:color w:val="000000" w:themeColor="text1"/>
                <w:sz w:val="21"/>
                <w:szCs w:val="21"/>
              </w:rPr>
              <w:t>质量/■环境/■职业健康安全方针（组织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rPr>
                <w:rFonts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sz w:val="21"/>
                <w:szCs w:val="21"/>
              </w:rPr>
              <w:t>质量环境安全方针：“</w:t>
            </w:r>
            <w:r>
              <w:rPr>
                <w:rFonts w:hint="eastAsia" w:ascii="宋体" w:hAnsi="宋体" w:cs="宋体"/>
                <w:sz w:val="21"/>
                <w:szCs w:val="21"/>
              </w:rPr>
              <w:t>保证质量 、 快速安装 、 以客为尊、顾客满意、节能降耗、保护环境、以人为本、安全第一、预防为主、综合治理、规范管理、持续改进”。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210" w:firstLineChars="100"/>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质量管理体系过程有：合同评审、过程监控管理；产品验收管理；监视和测量设备管理。</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其中关键过程有：产品设计、销售过程。</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 xml:space="preserve">需要确认过程：  </w:t>
            </w:r>
          </w:p>
          <w:p>
            <w:pPr>
              <w:tabs>
                <w:tab w:val="left" w:pos="540"/>
              </w:tabs>
              <w:spacing w:line="300" w:lineRule="exact"/>
              <w:ind w:left="211" w:leftChars="0" w:hanging="211" w:hangingChars="100"/>
              <w:rPr>
                <w:rFonts w:ascii="宋体" w:hAnsi="宋体" w:eastAsia="宋体" w:cs="Times New Roman"/>
                <w:b/>
                <w:color w:val="000000" w:themeColor="text1"/>
                <w:kern w:val="2"/>
                <w:sz w:val="21"/>
                <w:szCs w:val="21"/>
                <w:lang w:val="en-US" w:eastAsia="zh-CN" w:bidi="ar-SA"/>
              </w:rPr>
            </w:pPr>
            <w:r>
              <w:rPr>
                <w:b/>
                <w:color w:val="000000" w:themeColor="text1"/>
                <w:sz w:val="21"/>
                <w:szCs w:val="21"/>
              </w:rPr>
              <w:pict>
                <v:shape id="_x0000_s2053" o:spid="_x0000_s2053" o:spt="32" type="#_x0000_t32" style="position:absolute;left:0pt;margin-left:157.9pt;margin-top:12.75pt;height:0pt;width:261.75pt;z-index:251692032;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rPr>
              <w:pict>
                <v:shape id="_x0000_s2054" o:spid="_x0000_s2054" o:spt="32" type="#_x0000_t32" style="position:absolute;left:0pt;margin-left:55.15pt;margin-top:12.75pt;height:0pt;width:42pt;z-index:25169100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5" w:firstLineChars="150"/>
              <w:rPr>
                <w:rFonts w:cs="Times New Roman"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420" w:firstLineChars="200"/>
              <w:rPr>
                <w:rFonts w:ascii="宋体" w:hAnsi="宋体" w:eastAsia="宋体" w:cs="Times New Roman"/>
                <w:b/>
                <w:color w:val="000000" w:themeColor="text1"/>
                <w:spacing w:val="-8"/>
                <w:kern w:val="2"/>
                <w:sz w:val="21"/>
                <w:szCs w:val="21"/>
                <w:lang w:val="en-US" w:eastAsia="zh-CN" w:bidi="ar-SA"/>
              </w:rPr>
            </w:pPr>
            <w:r>
              <w:rPr>
                <w:rFonts w:hint="eastAsia" w:ascii="宋体" w:hAnsi="宋体"/>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b/>
                <w:color w:val="000000" w:themeColor="text1"/>
                <w:spacing w:val="-4"/>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tabs>
                <w:tab w:val="left" w:pos="540"/>
              </w:tabs>
              <w:spacing w:line="300" w:lineRule="exact"/>
              <w:ind w:left="211" w:hanging="211" w:hangingChars="100"/>
              <w:rPr>
                <w:rFonts w:ascii="宋体" w:hAnsi="宋体"/>
                <w:b/>
                <w:color w:val="000000" w:themeColor="text1"/>
                <w:sz w:val="21"/>
                <w:szCs w:val="21"/>
              </w:rPr>
            </w:pPr>
          </w:p>
          <w:p>
            <w:pPr>
              <w:pStyle w:val="14"/>
              <w:numPr>
                <w:ilvl w:val="0"/>
                <w:numId w:val="1"/>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4"/>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4"/>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4"/>
              <w:numPr>
                <w:ilvl w:val="0"/>
                <w:numId w:val="1"/>
              </w:numPr>
              <w:tabs>
                <w:tab w:val="left" w:pos="540"/>
              </w:tabs>
              <w:spacing w:line="300" w:lineRule="exact"/>
              <w:ind w:firstLineChars="0"/>
              <w:rPr>
                <w:rFonts w:ascii="Times New Roman"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hint="eastAsia" w:ascii="宋体" w:hAnsi="宋体" w:eastAsia="宋体"/>
                <w:b/>
                <w:color w:val="000000" w:themeColor="text1"/>
                <w:sz w:val="21"/>
                <w:szCs w:val="21"/>
                <w:lang w:eastAsia="zh-CN"/>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w:t>
            </w:r>
            <w:r>
              <w:rPr>
                <w:rFonts w:hint="eastAsia" w:ascii="宋体" w:hAnsi="宋体" w:cs="宋体"/>
                <w:color w:val="000000" w:themeColor="text1"/>
                <w:kern w:val="0"/>
                <w:sz w:val="21"/>
                <w:szCs w:val="21"/>
              </w:rPr>
              <w:t>超过了规定的目标值</w:t>
            </w:r>
            <w:r>
              <w:rPr>
                <w:rFonts w:hint="eastAsia" w:ascii="宋体" w:hAnsi="宋体" w:cs="宋体"/>
                <w:color w:val="000000" w:themeColor="text1"/>
                <w:kern w:val="0"/>
                <w:sz w:val="21"/>
                <w:szCs w:val="21"/>
                <w:lang w:eastAsia="zh-CN"/>
              </w:rPr>
              <w:t>。</w:t>
            </w:r>
            <w:bookmarkStart w:id="27" w:name="_GoBack"/>
            <w:bookmarkEnd w:id="27"/>
          </w:p>
          <w:p>
            <w:pPr>
              <w:rPr>
                <w:rFonts w:ascii="宋体" w:hAnsi="宋体" w:cs="宋体"/>
                <w:color w:val="000000" w:themeColor="text1"/>
                <w:sz w:val="21"/>
                <w:szCs w:val="21"/>
              </w:rPr>
            </w:pPr>
            <w:r>
              <w:rPr>
                <w:rFonts w:hint="eastAsia" w:ascii="宋体" w:hAnsi="宋体" w:cs="宋体"/>
                <w:color w:val="000000" w:themeColor="text1"/>
                <w:sz w:val="21"/>
                <w:szCs w:val="21"/>
              </w:rPr>
              <w:t>公司质量环境安全目标为：            实施情况（20</w:t>
            </w: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01</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03</w:t>
            </w:r>
            <w:r>
              <w:rPr>
                <w:rFonts w:hint="eastAsia" w:ascii="宋体" w:hAnsi="宋体" w:cs="宋体"/>
                <w:color w:val="000000" w:themeColor="text1"/>
                <w:sz w:val="21"/>
                <w:szCs w:val="21"/>
              </w:rPr>
              <w:t>月）</w:t>
            </w:r>
          </w:p>
          <w:p>
            <w:pPr>
              <w:spacing w:line="360" w:lineRule="auto"/>
              <w:rPr>
                <w:rFonts w:ascii="宋体" w:hAnsi="宋体" w:cs="宋体"/>
                <w:b/>
                <w:color w:val="000000" w:themeColor="text1"/>
                <w:sz w:val="21"/>
                <w:szCs w:val="21"/>
              </w:rPr>
            </w:pPr>
            <w:r>
              <w:rPr>
                <w:rFonts w:hint="eastAsia" w:ascii="宋体" w:hAnsi="宋体" w:cs="宋体"/>
                <w:color w:val="000000" w:themeColor="text1"/>
                <w:sz w:val="21"/>
                <w:szCs w:val="21"/>
              </w:rPr>
              <w:t>1）产品一次交验合格率≥</w:t>
            </w:r>
            <w:r>
              <w:rPr>
                <w:rFonts w:ascii="宋体" w:hAnsi="宋体" w:cs="宋体"/>
                <w:color w:val="000000" w:themeColor="text1"/>
                <w:sz w:val="21"/>
                <w:szCs w:val="21"/>
              </w:rPr>
              <w:t>9</w:t>
            </w:r>
            <w:r>
              <w:rPr>
                <w:rFonts w:hint="eastAsia" w:ascii="宋体" w:hAnsi="宋体" w:cs="宋体"/>
                <w:color w:val="000000" w:themeColor="text1"/>
                <w:sz w:val="21"/>
                <w:szCs w:val="21"/>
              </w:rPr>
              <w:t>8</w:t>
            </w:r>
            <w:r>
              <w:rPr>
                <w:rFonts w:ascii="宋体" w:hAnsi="宋体" w:cs="宋体"/>
                <w:color w:val="000000" w:themeColor="text1"/>
                <w:sz w:val="21"/>
                <w:szCs w:val="21"/>
              </w:rPr>
              <w:t>%               9</w:t>
            </w:r>
            <w:r>
              <w:rPr>
                <w:rFonts w:hint="eastAsia" w:ascii="宋体" w:hAnsi="宋体" w:cs="宋体"/>
                <w:color w:val="000000" w:themeColor="text1"/>
                <w:sz w:val="21"/>
                <w:szCs w:val="21"/>
                <w:lang w:val="en-US" w:eastAsia="zh-CN"/>
              </w:rPr>
              <w:t>8</w:t>
            </w:r>
            <w:r>
              <w:rPr>
                <w:rFonts w:ascii="宋体" w:hAnsi="宋体" w:cs="宋体"/>
                <w:color w:val="000000" w:themeColor="text1"/>
                <w:sz w:val="21"/>
                <w:szCs w:val="21"/>
              </w:rPr>
              <w:t xml:space="preserve">% </w:t>
            </w:r>
          </w:p>
          <w:p>
            <w:pPr>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2）顾客满意度≥</w:t>
            </w:r>
            <w:r>
              <w:rPr>
                <w:rFonts w:ascii="宋体" w:hAnsi="宋体" w:cs="宋体"/>
                <w:color w:val="000000" w:themeColor="text1"/>
                <w:sz w:val="21"/>
                <w:szCs w:val="21"/>
              </w:rPr>
              <w:t>9</w:t>
            </w:r>
            <w:r>
              <w:rPr>
                <w:rFonts w:hint="eastAsia" w:ascii="宋体" w:hAnsi="宋体" w:cs="宋体"/>
                <w:color w:val="000000" w:themeColor="text1"/>
                <w:sz w:val="21"/>
                <w:szCs w:val="21"/>
              </w:rPr>
              <w:t>6</w:t>
            </w:r>
            <w:r>
              <w:rPr>
                <w:rFonts w:ascii="宋体" w:hAnsi="宋体" w:cs="宋体"/>
                <w:color w:val="000000" w:themeColor="text1"/>
                <w:sz w:val="21"/>
                <w:szCs w:val="21"/>
              </w:rPr>
              <w:t>%                       9</w:t>
            </w:r>
            <w:r>
              <w:rPr>
                <w:rFonts w:hint="eastAsia" w:ascii="宋体" w:hAnsi="宋体" w:cs="宋体"/>
                <w:color w:val="000000" w:themeColor="text1"/>
                <w:sz w:val="21"/>
                <w:szCs w:val="21"/>
                <w:lang w:val="en-US" w:eastAsia="zh-CN"/>
              </w:rPr>
              <w:t>7</w:t>
            </w:r>
            <w:r>
              <w:rPr>
                <w:rFonts w:hint="eastAsia" w:ascii="宋体" w:hAnsi="宋体" w:cs="宋体"/>
                <w:color w:val="000000" w:themeColor="text1"/>
                <w:sz w:val="21"/>
                <w:szCs w:val="21"/>
              </w:rPr>
              <w:t>%</w:t>
            </w:r>
          </w:p>
          <w:p>
            <w:pPr>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3）合同履约率</w:t>
            </w:r>
            <w:r>
              <w:rPr>
                <w:rFonts w:ascii="宋体" w:hAnsi="宋体" w:cs="宋体"/>
                <w:color w:val="000000" w:themeColor="text1"/>
                <w:sz w:val="21"/>
                <w:szCs w:val="21"/>
              </w:rPr>
              <w:t>100%                       100</w:t>
            </w:r>
            <w:r>
              <w:rPr>
                <w:rFonts w:hint="eastAsia" w:ascii="宋体" w:hAnsi="宋体" w:cs="宋体"/>
                <w:color w:val="000000" w:themeColor="text1"/>
                <w:sz w:val="21"/>
                <w:szCs w:val="21"/>
              </w:rPr>
              <w:t>%</w:t>
            </w:r>
          </w:p>
          <w:p>
            <w:pPr>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4）固体分类收集</w:t>
            </w:r>
            <w:r>
              <w:rPr>
                <w:rFonts w:ascii="宋体" w:hAnsi="宋体" w:cs="宋体"/>
                <w:color w:val="000000" w:themeColor="text1"/>
                <w:sz w:val="21"/>
                <w:szCs w:val="21"/>
              </w:rPr>
              <w:t>,</w:t>
            </w:r>
            <w:r>
              <w:rPr>
                <w:rFonts w:hint="eastAsia" w:ascii="宋体" w:hAnsi="宋体" w:cs="宋体"/>
                <w:color w:val="000000" w:themeColor="text1"/>
                <w:sz w:val="21"/>
                <w:szCs w:val="21"/>
              </w:rPr>
              <w:t>集中处理</w:t>
            </w:r>
            <w:r>
              <w:rPr>
                <w:rFonts w:ascii="宋体" w:hAnsi="宋体" w:cs="宋体"/>
                <w:color w:val="000000" w:themeColor="text1"/>
                <w:sz w:val="21"/>
                <w:szCs w:val="21"/>
              </w:rPr>
              <w:t xml:space="preserve">100%            </w:t>
            </w:r>
            <w:r>
              <w:rPr>
                <w:rFonts w:hint="eastAsia" w:ascii="宋体" w:hAnsi="宋体" w:cs="宋体"/>
                <w:color w:val="000000" w:themeColor="text1"/>
                <w:sz w:val="21"/>
                <w:szCs w:val="21"/>
              </w:rPr>
              <w:t>100%</w:t>
            </w:r>
          </w:p>
          <w:p>
            <w:pPr>
              <w:spacing w:line="360" w:lineRule="auto"/>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5）火灾事故为零</w:t>
            </w:r>
            <w:r>
              <w:rPr>
                <w:rFonts w:hint="eastAsia" w:ascii="宋体" w:hAnsi="宋体" w:cs="宋体"/>
                <w:color w:val="000000" w:themeColor="text1"/>
                <w:sz w:val="21"/>
                <w:szCs w:val="21"/>
                <w:lang w:val="en-US" w:eastAsia="zh-CN"/>
              </w:rPr>
              <w:t xml:space="preserve">                        </w:t>
            </w:r>
            <w:r>
              <w:rPr>
                <w:rFonts w:hint="eastAsia" w:ascii="宋体" w:hAnsi="宋体" w:cs="宋体"/>
                <w:color w:val="000000" w:themeColor="text1"/>
                <w:sz w:val="21"/>
                <w:szCs w:val="21"/>
              </w:rPr>
              <w:t xml:space="preserve"> 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 xml:space="preserve">2019 </w:t>
            </w:r>
            <w:r>
              <w:rPr>
                <w:rFonts w:hint="eastAsia" w:ascii="宋体" w:hAnsi="宋体" w:cs="宋体"/>
                <w:color w:val="000000" w:themeColor="text1"/>
                <w:sz w:val="21"/>
                <w:szCs w:val="21"/>
              </w:rPr>
              <w:t>年5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leftChars="0" w:right="113" w:rightChars="0"/>
              <w:jc w:val="center"/>
              <w:rPr>
                <w:rFonts w:ascii="Times New Roman" w:hAnsi="Times New Roman" w:eastAsia="宋体" w:cs="Times New Roman"/>
                <w:b/>
                <w:color w:val="000000" w:themeColor="text1"/>
                <w:kern w:val="2"/>
                <w:sz w:val="21"/>
                <w:szCs w:val="21"/>
                <w:lang w:val="en-US" w:eastAsia="zh-CN" w:bidi="ar-SA"/>
              </w:rPr>
            </w:pPr>
            <w:r>
              <w:rPr>
                <w:b/>
                <w:color w:val="000000" w:themeColor="text1"/>
                <w:sz w:val="21"/>
                <w:szCs w:val="21"/>
              </w:rPr>
              <w:br w:type="page"/>
            </w:r>
            <w:r>
              <w:rPr>
                <w:rFonts w:hint="eastAsia" w:ascii="宋体" w:hAnsi="宋体"/>
                <w:b/>
                <w:color w:val="000000" w:themeColor="text1"/>
                <w:sz w:val="21"/>
                <w:szCs w:val="21"/>
              </w:rPr>
              <w:t>(二)资源评价</w:t>
            </w:r>
          </w:p>
          <w:p>
            <w:pPr>
              <w:spacing w:line="240" w:lineRule="exact"/>
              <w:ind w:left="113" w:right="113"/>
              <w:jc w:val="center"/>
              <w:rPr>
                <w:b/>
                <w:sz w:val="21"/>
                <w:szCs w:val="21"/>
              </w:rPr>
            </w:pP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人力资源管理</w:t>
            </w:r>
            <w:r>
              <w:rPr>
                <w:rFonts w:hint="eastAsia" w:ascii="宋体" w:hAnsi="宋体"/>
                <w:bCs/>
                <w:iCs/>
                <w:sz w:val="21"/>
                <w:szCs w:val="21"/>
              </w:rPr>
              <w:t>及相关服务运行环境，可以维持管理体系的正常运行。</w:t>
            </w:r>
          </w:p>
          <w:p>
            <w:pPr>
              <w:spacing w:line="300" w:lineRule="exact"/>
              <w:rPr>
                <w:rFonts w:ascii="宋体" w:hAnsi="宋体" w:eastAsia="宋体" w:cs="Times New Roman"/>
                <w:b/>
                <w:color w:val="000000" w:themeColor="text1"/>
                <w:kern w:val="2"/>
                <w:sz w:val="21"/>
                <w:szCs w:val="21"/>
                <w:lang w:val="en-US" w:eastAsia="zh-CN" w:bidi="ar-SA"/>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400" w:lineRule="exact"/>
              <w:rPr>
                <w:rFonts w:ascii="宋体" w:hAnsi="宋体" w:eastAsia="宋体" w:cs="Times New Roman"/>
                <w:b/>
                <w:color w:val="000000" w:themeColor="text1"/>
                <w:kern w:val="2"/>
                <w:sz w:val="21"/>
                <w:szCs w:val="21"/>
                <w:lang w:val="en-US" w:eastAsia="zh-CN" w:bidi="ar-SA"/>
              </w:rPr>
            </w:pPr>
            <w:r>
              <w:rPr>
                <w:rFonts w:hint="eastAsia" w:ascii="宋体" w:hAnsi="宋体"/>
                <w:sz w:val="21"/>
                <w:szCs w:val="21"/>
              </w:rPr>
              <w:t>办公场所面积200平方左右，生产服务面积100平方。</w:t>
            </w:r>
            <w:r>
              <w:rPr>
                <w:rFonts w:hint="eastAsia" w:ascii="宋体" w:hAnsi="宋体" w:cs="宋体"/>
                <w:sz w:val="21"/>
                <w:szCs w:val="21"/>
              </w:rPr>
              <w:t>主要生产设备包括电脑、打印机和缝纫机、绞边机、熨烫设备、裁剪台等</w:t>
            </w:r>
            <w:r>
              <w:rPr>
                <w:rFonts w:hint="eastAsia" w:ascii="宋体" w:hAnsi="宋体"/>
                <w:sz w:val="21"/>
                <w:szCs w:val="21"/>
              </w:rPr>
              <w:t>，可以满足</w:t>
            </w:r>
            <w:r>
              <w:rPr>
                <w:rFonts w:hint="eastAsia" w:ascii="宋体" w:hAnsi="宋体" w:cs="宋体"/>
                <w:sz w:val="21"/>
                <w:szCs w:val="21"/>
              </w:rPr>
              <w:t>窗帘、卷帘、隔帘</w:t>
            </w:r>
            <w:r>
              <w:rPr>
                <w:rFonts w:hint="eastAsia" w:ascii="宋体" w:hAnsi="宋体"/>
                <w:sz w:val="21"/>
                <w:szCs w:val="21"/>
              </w:rPr>
              <w:t>的加工、设计及销售；</w:t>
            </w:r>
            <w:r>
              <w:rPr>
                <w:rFonts w:hint="eastAsia" w:ascii="宋体" w:hAnsi="宋体" w:cs="宋体"/>
                <w:sz w:val="21"/>
                <w:szCs w:val="21"/>
              </w:rPr>
              <w:t>服装、床上用品、家居饰品</w:t>
            </w:r>
            <w:r>
              <w:rPr>
                <w:rFonts w:hint="eastAsia" w:ascii="宋体" w:hAnsi="宋体"/>
                <w:sz w:val="21"/>
                <w:szCs w:val="21"/>
              </w:rPr>
              <w:t>的销售</w:t>
            </w:r>
            <w:r>
              <w:rPr>
                <w:rFonts w:hint="eastAsia" w:ascii="宋体" w:hAnsi="宋体" w:cs="宋体"/>
                <w:sz w:val="21"/>
                <w:szCs w:val="21"/>
              </w:rPr>
              <w:t>需</w:t>
            </w:r>
            <w:r>
              <w:rPr>
                <w:rFonts w:hint="eastAsia" w:ascii="宋体" w:hAnsi="宋体"/>
                <w:sz w:val="21"/>
                <w:szCs w:val="21"/>
              </w:rPr>
              <w:t>要</w:t>
            </w:r>
            <w:r>
              <w:rPr>
                <w:rFonts w:hint="eastAsia" w:ascii="宋体" w:hAnsi="宋体" w:cs="宋体"/>
                <w:sz w:val="21"/>
                <w:szCs w:val="21"/>
              </w:rPr>
              <w:t>。对设备按月方式进行维护保养，并实施。特种设备：无。公司未建立信息管理系统用于生产和服务。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sz w:val="21"/>
                <w:szCs w:val="21"/>
              </w:rPr>
              <w:t>办公、</w:t>
            </w:r>
            <w:r>
              <w:rPr>
                <w:rFonts w:hint="eastAsia" w:ascii="宋体" w:hAnsi="宋体"/>
                <w:sz w:val="21"/>
                <w:szCs w:val="21"/>
              </w:rPr>
              <w:t>维修服务</w:t>
            </w:r>
            <w:r>
              <w:rPr>
                <w:rFonts w:hint="eastAsia" w:ascii="宋体" w:hAnsi="宋体" w:cs="宋体"/>
                <w:sz w:val="21"/>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监视和测量资源</w:t>
            </w:r>
          </w:p>
          <w:p>
            <w:pPr>
              <w:spacing w:line="40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卷尺、钢直尺等。提供有效的校准证书。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eastAsia="宋体" w:cs="Times New Roman"/>
                <w:b/>
                <w:color w:val="000000" w:themeColor="text1"/>
                <w:kern w:val="2"/>
                <w:sz w:val="21"/>
                <w:szCs w:val="21"/>
                <w:lang w:val="en-US" w:eastAsia="zh-CN" w:bidi="ar-SA"/>
              </w:rPr>
            </w:pPr>
            <w:r>
              <w:rPr>
                <w:rFonts w:hint="eastAsia" w:ascii="宋体" w:hAnsi="宋体" w:eastAsia="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环保设施：</w:t>
            </w:r>
          </w:p>
          <w:p>
            <w:pPr>
              <w:spacing w:line="240" w:lineRule="exact"/>
              <w:rPr>
                <w:rFonts w:ascii="宋体" w:hAnsi="宋体" w:eastAsia="宋体" w:cs="Times New Roman"/>
                <w:kern w:val="2"/>
                <w:sz w:val="21"/>
                <w:szCs w:val="21"/>
                <w:lang w:val="en-US" w:eastAsia="zh-CN" w:bidi="ar-SA"/>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职业健康安全设施：</w:t>
            </w:r>
          </w:p>
          <w:p>
            <w:pPr>
              <w:spacing w:line="240" w:lineRule="exact"/>
              <w:rPr>
                <w:rFonts w:ascii="宋体" w:hAnsi="宋体" w:eastAsia="宋体" w:cs="Times New Roman"/>
                <w:kern w:val="2"/>
                <w:sz w:val="21"/>
                <w:szCs w:val="21"/>
                <w:lang w:val="en-US" w:eastAsia="zh-CN" w:bidi="ar-SA"/>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jc w:val="center"/>
        </w:trPr>
        <w:tc>
          <w:tcPr>
            <w:tcW w:w="720" w:type="dxa"/>
            <w:vMerge w:val="restart"/>
            <w:textDirection w:val="tbRlV"/>
            <w:vAlign w:val="center"/>
          </w:tcPr>
          <w:p>
            <w:pPr>
              <w:spacing w:line="240" w:lineRule="exact"/>
              <w:ind w:left="113" w:leftChars="0" w:right="113" w:rightChars="0"/>
              <w:jc w:val="center"/>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(三)体系运行情况</w:t>
            </w:r>
          </w:p>
          <w:p>
            <w:pPr>
              <w:spacing w:line="240" w:lineRule="exact"/>
              <w:ind w:left="113" w:right="113"/>
              <w:jc w:val="center"/>
              <w:rPr>
                <w:b/>
                <w:sz w:val="21"/>
                <w:szCs w:val="21"/>
              </w:rPr>
            </w:pPr>
          </w:p>
        </w:tc>
        <w:tc>
          <w:tcPr>
            <w:tcW w:w="9198" w:type="dxa"/>
            <w:vAlign w:val="top"/>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leftChars="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159" w:hanging="167" w:hangingChars="79"/>
              <w:rPr>
                <w:rFonts w:ascii="楷体_GB2312" w:eastAsia="楷体_GB2312"/>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组织对外联络，关注顾客的感受情况（QMS）：采取顾客满意度调查方式了解顾客感受。</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b/>
                <w:color w:val="000000" w:themeColor="text1"/>
                <w:sz w:val="21"/>
                <w:szCs w:val="21"/>
              </w:rPr>
            </w:pPr>
            <w:r>
              <w:rPr>
                <w:rFonts w:hint="eastAsia"/>
                <w:b/>
                <w:color w:val="000000" w:themeColor="text1"/>
                <w:sz w:val="21"/>
                <w:szCs w:val="21"/>
              </w:rPr>
              <w:t>无</w:t>
            </w:r>
          </w:p>
          <w:p>
            <w:pPr>
              <w:spacing w:line="300" w:lineRule="exact"/>
              <w:ind w:firstLine="207" w:firstLineChars="98"/>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火灾、触电、人身伤害），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10. 对特种设备的维护; </w:t>
            </w:r>
            <w:r>
              <w:rPr>
                <w:rFonts w:hint="eastAsia"/>
                <w:b/>
                <w:sz w:val="21"/>
                <w:szCs w:val="21"/>
              </w:rPr>
              <w:t>（适用时）</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sz w:val="21"/>
                <w:szCs w:val="21"/>
              </w:rPr>
            </w:pPr>
            <w:r>
              <w:rPr>
                <w:rFonts w:hint="eastAsia"/>
                <w:b/>
                <w:color w:val="000000" w:themeColor="text1"/>
                <w:sz w:val="21"/>
                <w:szCs w:val="21"/>
              </w:rPr>
              <w:t>11 .对危险化学品销售、使用、储存、运输处置，规定的执行力度(必要时);</w:t>
            </w:r>
            <w:r>
              <w:rPr>
                <w:rFonts w:hint="eastAsia"/>
                <w:b/>
                <w:sz w:val="21"/>
                <w:szCs w:val="21"/>
              </w:rPr>
              <w:t>（适用时）</w:t>
            </w:r>
          </w:p>
          <w:p>
            <w:pPr>
              <w:spacing w:line="240" w:lineRule="exact"/>
              <w:rPr>
                <w:rFonts w:ascii="Times New Roman" w:hAnsi="Times New Roman" w:eastAsia="宋体" w:cs="Times New Roman"/>
                <w:kern w:val="2"/>
                <w:sz w:val="21"/>
                <w:szCs w:val="21"/>
                <w:lang w:val="en-US" w:eastAsia="zh-CN" w:bidi="ar-SA"/>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720" w:type="dxa"/>
            <w:vMerge w:val="restart"/>
            <w:textDirection w:val="tbRlV"/>
            <w:vAlign w:val="center"/>
          </w:tcPr>
          <w:p>
            <w:pPr>
              <w:spacing w:line="240" w:lineRule="exact"/>
              <w:ind w:left="113" w:leftChars="0" w:right="113" w:rightChars="0"/>
              <w:jc w:val="center"/>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(四)监视测量方面</w:t>
            </w:r>
          </w:p>
          <w:p>
            <w:pPr>
              <w:spacing w:line="240" w:lineRule="exact"/>
              <w:ind w:left="113" w:right="113"/>
              <w:jc w:val="center"/>
              <w:rPr>
                <w:rFonts w:ascii="宋体" w:hAnsi="宋体"/>
                <w:b/>
                <w:sz w:val="21"/>
                <w:szCs w:val="21"/>
              </w:rPr>
            </w:pP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105" w:firstLineChars="5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公司制定、发布了总体目标并分解到相关职能部门和层次，规定了目标</w:t>
            </w:r>
            <w:r>
              <w:rPr>
                <w:rFonts w:hint="eastAsia" w:ascii="宋体" w:hAnsi="宋体" w:cs="宋体"/>
                <w:color w:val="000000" w:themeColor="text1"/>
                <w:sz w:val="21"/>
                <w:szCs w:val="21"/>
              </w:rPr>
              <w:t>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01</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03</w:t>
            </w:r>
            <w:r>
              <w:rPr>
                <w:rFonts w:hint="eastAsia" w:ascii="宋体" w:hAnsi="宋体" w:cs="宋体"/>
                <w:color w:val="000000" w:themeColor="text1"/>
                <w:sz w:val="21"/>
                <w:szCs w:val="21"/>
              </w:rPr>
              <w:t>月目标的</w:t>
            </w:r>
            <w:r>
              <w:rPr>
                <w:rFonts w:hint="eastAsia" w:ascii="宋体" w:hAnsi="宋体" w:cs="宋体"/>
                <w:color w:val="000000"/>
                <w:sz w:val="21"/>
                <w:szCs w:val="21"/>
              </w:rPr>
              <w:t>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2.顾客满意</w:t>
            </w:r>
          </w:p>
          <w:p>
            <w:pPr>
              <w:spacing w:line="240" w:lineRule="exact"/>
              <w:ind w:left="120" w:leftChars="50"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w:t>
            </w:r>
            <w:r>
              <w:rPr>
                <w:rFonts w:hint="eastAsia" w:ascii="宋体" w:hAnsi="宋体" w:cs="宋体"/>
                <w:color w:val="000000" w:themeColor="text1"/>
                <w:sz w:val="21"/>
                <w:szCs w:val="21"/>
              </w:rPr>
              <w:t>顾客反馈信息的利用上不够，需要改善。近年来未发生重大顾客投诉和产品质量事故。顾客满意度调查按规定实施，20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年12月实施，满意度评价9</w:t>
            </w:r>
            <w:r>
              <w:rPr>
                <w:rFonts w:hint="eastAsia" w:ascii="宋体" w:hAnsi="宋体" w:cs="宋体"/>
                <w:color w:val="000000" w:themeColor="text1"/>
                <w:sz w:val="21"/>
                <w:szCs w:val="21"/>
                <w:lang w:val="en-US" w:eastAsia="zh-CN"/>
              </w:rPr>
              <w:t>7%</w:t>
            </w:r>
            <w:r>
              <w:rPr>
                <w:rFonts w:hint="eastAsia" w:ascii="宋体" w:hAnsi="宋体" w:cs="宋体"/>
                <w:color w:val="000000" w:themeColor="text1"/>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240" w:lineRule="exact"/>
              <w:rPr>
                <w:rFonts w:ascii="Times New Roman" w:hAnsi="Times New Roman" w:eastAsia="宋体" w:cs="Times New Roman"/>
                <w:b/>
                <w:color w:val="FF0000"/>
                <w:kern w:val="2"/>
                <w:sz w:val="21"/>
                <w:szCs w:val="21"/>
                <w:lang w:val="en-US" w:eastAsia="zh-CN" w:bidi="ar-SA"/>
              </w:rPr>
            </w:pPr>
            <w:r>
              <w:rPr>
                <w:rFonts w:hint="eastAsia" w:ascii="宋体" w:hAnsi="宋体"/>
                <w:sz w:val="21"/>
                <w:szCs w:val="21"/>
              </w:rPr>
              <w:t>建立有《内部审核控制程序》，规定了内审频次一年一次，内审时间：202</w:t>
            </w:r>
            <w:r>
              <w:rPr>
                <w:rFonts w:hint="eastAsia" w:ascii="宋体" w:hAnsi="宋体"/>
                <w:sz w:val="21"/>
                <w:szCs w:val="21"/>
                <w:lang w:val="en-US" w:eastAsia="zh-CN"/>
              </w:rPr>
              <w:t>1年1月5日</w:t>
            </w:r>
            <w:r>
              <w:rPr>
                <w:rFonts w:hint="eastAsia" w:ascii="宋体" w:hAnsi="宋体"/>
                <w:sz w:val="21"/>
                <w:szCs w:val="21"/>
              </w:rPr>
              <w:t>，拟定了审核实施表，明确了内审范围，内审人员经培训合格上岗，能力满足要求，未出现审核本部门情况，内审不符合项1项，涉及</w:t>
            </w:r>
            <w:r>
              <w:rPr>
                <w:rFonts w:hint="eastAsia" w:ascii="宋体" w:hAnsi="宋体"/>
                <w:sz w:val="21"/>
                <w:szCs w:val="21"/>
                <w:lang w:val="en-US" w:eastAsia="zh-CN"/>
              </w:rPr>
              <w:t>制作</w:t>
            </w:r>
            <w:r>
              <w:rPr>
                <w:rFonts w:hint="eastAsia" w:ascii="宋体" w:hAnsi="宋体"/>
                <w:sz w:val="21"/>
                <w:szCs w:val="21"/>
              </w:rPr>
              <w:t>部</w:t>
            </w:r>
            <w:r>
              <w:rPr>
                <w:rFonts w:hint="eastAsia" w:ascii="宋体" w:hAnsi="宋体"/>
                <w:sz w:val="21"/>
                <w:szCs w:val="21"/>
                <w:lang w:val="en-US" w:eastAsia="zh-CN"/>
              </w:rPr>
              <w:t>ES8.2</w:t>
            </w:r>
            <w:r>
              <w:rPr>
                <w:rFonts w:hint="eastAsia" w:ascii="宋体" w:hAnsi="宋体"/>
                <w:sz w:val="21"/>
                <w:szCs w:val="21"/>
              </w:rPr>
              <w:t>条款</w:t>
            </w:r>
            <w:r>
              <w:rPr>
                <w:rFonts w:hint="eastAsia" w:ascii="宋体" w:hAnsi="宋体"/>
                <w:sz w:val="21"/>
                <w:szCs w:val="21"/>
                <w:lang w:val="en-US" w:eastAsia="zh-CN"/>
              </w:rPr>
              <w:t>,不符合描述为“</w:t>
            </w:r>
            <w:r>
              <w:rPr>
                <w:rFonts w:hint="eastAsia" w:ascii="宋体" w:hAnsi="宋体"/>
                <w:sz w:val="21"/>
                <w:szCs w:val="21"/>
              </w:rPr>
              <w:t>生产现场有灭火器过期，未及时更换</w:t>
            </w:r>
            <w:r>
              <w:rPr>
                <w:rFonts w:hint="eastAsia" w:ascii="宋体" w:hAnsi="宋体"/>
                <w:sz w:val="21"/>
                <w:szCs w:val="21"/>
                <w:lang w:eastAsia="zh-CN"/>
              </w:rPr>
              <w:t>”</w:t>
            </w:r>
            <w:r>
              <w:rPr>
                <w:rFonts w:hint="eastAsia" w:ascii="宋体" w:hAnsi="宋体"/>
                <w:sz w:val="21"/>
                <w:szCs w:val="21"/>
              </w:rPr>
              <w:t>，已及时采取纠正措施后，经内审员验证关闭。内审的有效性需要改善。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管理评审频次为一年一次、本次管理评审于</w:t>
            </w:r>
            <w:r>
              <w:rPr>
                <w:rFonts w:hint="eastAsia" w:ascii="宋体" w:hAnsi="宋体" w:cs="宋体"/>
                <w:sz w:val="21"/>
                <w:szCs w:val="21"/>
                <w:lang w:val="en-US" w:eastAsia="zh-CN"/>
              </w:rPr>
              <w:t>2021年01月22日</w:t>
            </w:r>
            <w:r>
              <w:rPr>
                <w:rFonts w:hint="eastAsia" w:ascii="宋体" w:hAnsi="宋体" w:cs="宋体"/>
                <w:sz w:val="2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ind w:firstLine="210" w:firstLineChars="100"/>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color w:val="000000" w:themeColor="text1"/>
                <w:sz w:val="21"/>
                <w:szCs w:val="21"/>
              </w:rPr>
              <w:t>提供有：建设项目环境影响登记表，备案号：202050010500000020.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ascii="Times New Roman" w:hAnsi="Times New Roman" w:eastAsia="宋体" w:cs="Times New Roman"/>
                <w:b/>
                <w:kern w:val="2"/>
                <w:sz w:val="21"/>
                <w:szCs w:val="21"/>
                <w:lang w:val="en-US" w:eastAsia="zh-CN" w:bidi="ar-SA"/>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rFonts w:ascii="Times New Roman" w:hAnsi="Times New Roman" w:eastAsia="宋体" w:cs="Times New Roman"/>
                <w:b/>
                <w:kern w:val="2"/>
                <w:sz w:val="21"/>
                <w:szCs w:val="21"/>
                <w:lang w:val="en-US" w:eastAsia="zh-CN" w:bidi="ar-SA"/>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1"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400" w:lineRule="exact"/>
              <w:ind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hint="eastAsia"/>
                <w:b/>
                <w:bCs/>
                <w:sz w:val="21"/>
                <w:szCs w:val="21"/>
              </w:rPr>
            </w:pPr>
            <w:r>
              <w:rPr>
                <w:rFonts w:hint="eastAsia"/>
                <w:b/>
                <w:bCs/>
                <w:sz w:val="21"/>
                <w:szCs w:val="21"/>
              </w:rPr>
              <w:t>创新情况</w:t>
            </w:r>
          </w:p>
          <w:p>
            <w:pPr>
              <w:pStyle w:val="16"/>
              <w:numPr>
                <w:ilvl w:val="0"/>
                <w:numId w:val="0"/>
              </w:numPr>
              <w:rPr>
                <w:rFonts w:hint="eastAsia" w:eastAsia="宋体"/>
                <w:lang w:val="en-US" w:eastAsia="zh-CN"/>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b/>
                <w:bCs/>
                <w:sz w:val="21"/>
                <w:szCs w:val="21"/>
              </w:rPr>
            </w:pPr>
            <w:r>
              <w:rPr>
                <w:rFonts w:hint="eastAsia"/>
                <w:b/>
                <w:bCs/>
                <w:sz w:val="21"/>
                <w:szCs w:val="21"/>
              </w:rPr>
              <w:t>上次不符合的整改情况</w:t>
            </w:r>
          </w:p>
          <w:p>
            <w:r>
              <w:rPr>
                <w:rFonts w:hint="eastAsia" w:ascii="Times New Roman" w:hAnsi="Times New Roman" w:eastAsia="宋体" w:cs="Times New Roman"/>
                <w:color w:val="auto"/>
                <w:kern w:val="2"/>
                <w:sz w:val="21"/>
                <w:szCs w:val="22"/>
                <w:highlight w:val="none"/>
                <w:lang w:val="en-US" w:eastAsia="zh-CN" w:bidi="ar-SA"/>
              </w:rPr>
              <w:t>上次不符合为业务部ES7.4.3条款，经本次审核验证均整改且无类似不符合情况出现。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sym w:font="Wingdings 2" w:char="0052"/>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color w:val="000000" w:themeColor="text1"/>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color w:val="000000" w:themeColor="text1"/>
          <w:sz w:val="16"/>
          <w:szCs w:val="16"/>
        </w:rPr>
      </w:pPr>
      <w:r>
        <w:rPr>
          <w:rFonts w:hint="eastAsia"/>
          <w:b/>
          <w:color w:val="000000" w:themeColor="text1"/>
          <w:sz w:val="26"/>
          <w:szCs w:val="26"/>
        </w:rPr>
        <w:t>八、本次审核不符合项</w:t>
      </w:r>
    </w:p>
    <w:p>
      <w:pPr>
        <w:spacing w:line="400" w:lineRule="exact"/>
        <w:ind w:left="420" w:leftChars="175" w:firstLine="101" w:firstLineChars="42"/>
        <w:rPr>
          <w:rFonts w:ascii="宋体" w:hAnsi="宋体"/>
          <w:b/>
          <w:color w:val="000000" w:themeColor="text1"/>
          <w:szCs w:val="21"/>
        </w:rPr>
      </w:pPr>
      <w:r>
        <w:rPr>
          <w:rFonts w:hint="eastAsia" w:ascii="宋体" w:hAnsi="宋体"/>
          <w:b/>
          <w:color w:val="000000" w:themeColor="text1"/>
          <w:szCs w:val="21"/>
        </w:rPr>
        <w:t>本次审核共开具不符合项报告</w:t>
      </w:r>
      <w:r>
        <w:rPr>
          <w:rFonts w:hint="eastAsia" w:ascii="宋体" w:hAnsi="宋体"/>
          <w:b/>
          <w:color w:val="000000" w:themeColor="text1"/>
          <w:szCs w:val="21"/>
          <w:lang w:val="en-US" w:eastAsia="zh-CN"/>
        </w:rPr>
        <w:t>1</w:t>
      </w:r>
      <w:r>
        <w:rPr>
          <w:rFonts w:hint="eastAsia" w:ascii="宋体" w:hAnsi="宋体"/>
          <w:b/>
          <w:color w:val="000000" w:themeColor="text1"/>
          <w:szCs w:val="21"/>
        </w:rPr>
        <w:t>项；其中</w:t>
      </w:r>
      <w:r>
        <w:rPr>
          <w:rFonts w:hint="eastAsia" w:ascii="宋体" w:hAnsi="宋体"/>
          <w:b/>
          <w:color w:val="000000" w:themeColor="text1"/>
          <w:szCs w:val="21"/>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color w:val="000000" w:themeColor="text1"/>
          <w:szCs w:val="21"/>
        </w:rPr>
        <w:t>严重不符合</w:t>
      </w:r>
      <w:r>
        <w:rPr>
          <w:rFonts w:hint="eastAsia" w:ascii="宋体" w:hAnsi="宋体"/>
          <w:b/>
          <w:color w:val="000000" w:themeColor="text1"/>
          <w:szCs w:val="21"/>
          <w:lang w:val="en-US" w:eastAsia="zh-CN"/>
        </w:rPr>
        <w:t>0</w:t>
      </w:r>
      <w:r>
        <w:rPr>
          <w:rFonts w:hint="eastAsia" w:ascii="宋体" w:hAnsi="宋体"/>
          <w:b/>
          <w:color w:val="000000" w:themeColor="text1"/>
          <w:szCs w:val="21"/>
        </w:rPr>
        <w:t>项，一般不符合</w:t>
      </w:r>
      <w:r>
        <w:rPr>
          <w:rFonts w:hint="eastAsia" w:ascii="宋体" w:hAnsi="宋体"/>
          <w:b/>
          <w:color w:val="000000" w:themeColor="text1"/>
          <w:szCs w:val="21"/>
          <w:lang w:val="en-US" w:eastAsia="zh-CN"/>
        </w:rPr>
        <w:t>1</w:t>
      </w:r>
      <w:r>
        <w:rPr>
          <w:rFonts w:hint="eastAsia" w:ascii="宋体" w:hAnsi="宋体"/>
          <w:b/>
          <w:color w:val="000000" w:themeColor="text1"/>
          <w:szCs w:val="21"/>
        </w:rPr>
        <w:t>项，观察项</w:t>
      </w:r>
      <w:r>
        <w:rPr>
          <w:rFonts w:hint="eastAsia" w:ascii="宋体" w:hAnsi="宋体"/>
          <w:b/>
          <w:color w:val="000000" w:themeColor="text1"/>
          <w:szCs w:val="21"/>
          <w:lang w:val="en-US" w:eastAsia="zh-CN"/>
        </w:rPr>
        <w:t>0</w:t>
      </w:r>
      <w:r>
        <w:rPr>
          <w:rFonts w:hint="eastAsia" w:ascii="宋体" w:hAnsi="宋体"/>
          <w:b/>
          <w:color w:val="000000" w:themeColor="text1"/>
          <w:szCs w:val="21"/>
        </w:rPr>
        <w:t>项分布在</w:t>
      </w:r>
      <w:r>
        <w:rPr>
          <w:rFonts w:hint="eastAsia" w:ascii="宋体" w:hAnsi="宋体"/>
          <w:b/>
          <w:color w:val="000000" w:themeColor="text1"/>
          <w:szCs w:val="21"/>
          <w:lang w:val="en-US" w:eastAsia="zh-CN"/>
        </w:rPr>
        <w:t>业务部</w:t>
      </w:r>
      <w:r>
        <w:rPr>
          <w:rFonts w:hint="eastAsia" w:ascii="宋体" w:hAnsi="宋体"/>
          <w:b/>
          <w:color w:val="000000" w:themeColor="text1"/>
          <w:szCs w:val="21"/>
        </w:rPr>
        <w:t>部门</w:t>
      </w:r>
      <w:r>
        <w:rPr>
          <w:rFonts w:hint="eastAsia" w:ascii="宋体" w:hAnsi="宋体"/>
          <w:b/>
          <w:color w:val="000000" w:themeColor="text1"/>
          <w:szCs w:val="21"/>
          <w:lang w:val="en-US" w:eastAsia="zh-CN"/>
        </w:rPr>
        <w:t>8.4.1</w:t>
      </w:r>
      <w:r>
        <w:rPr>
          <w:rFonts w:hint="eastAsia" w:ascii="宋体" w:hAnsi="宋体"/>
          <w:b/>
          <w:color w:val="000000" w:themeColor="text1"/>
          <w:szCs w:val="21"/>
        </w:rPr>
        <w:t>条款，见不符合项分布表。（</w:t>
      </w:r>
      <w:r>
        <w:rPr>
          <w:rFonts w:ascii="宋体" w:hAnsi="宋体"/>
          <w:b/>
          <w:color w:val="000000" w:themeColor="text1"/>
          <w:szCs w:val="21"/>
        </w:rPr>
        <w:t>Q/J/E/S</w:t>
      </w:r>
      <w:r>
        <w:rPr>
          <w:rFonts w:hint="eastAsia" w:ascii="宋体" w:hAnsi="宋体"/>
          <w:b/>
          <w:color w:val="000000" w:themeColor="text1"/>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2" w:firstLineChars="200"/>
              <w:rPr>
                <w:rFonts w:ascii="宋体" w:hAnsi="宋体"/>
                <w:b/>
                <w:szCs w:val="21"/>
              </w:rPr>
            </w:pPr>
            <w:r>
              <w:rPr>
                <w:rFonts w:ascii="宋体" w:hAnsi="宋体"/>
                <w:b/>
                <w:szCs w:val="21"/>
              </w:rPr>
              <w:t>(</w:t>
            </w:r>
            <w:r>
              <w:rPr>
                <w:rFonts w:hint="eastAsia" w:ascii="微软雅黑" w:hAnsi="微软雅黑" w:eastAsia="微软雅黑"/>
                <w:bCs/>
                <w:szCs w:val="24"/>
              </w:rPr>
              <w:t>综上所述，审核组一致认为，（</w:t>
            </w:r>
            <w:r>
              <w:rPr>
                <w:rFonts w:hint="eastAsia" w:ascii="微软雅黑" w:hAnsi="微软雅黑" w:eastAsia="微软雅黑"/>
                <w:bCs/>
                <w:szCs w:val="24"/>
                <w:lang w:eastAsia="zh-CN"/>
              </w:rPr>
              <w:t>重庆曼豪商贸有限公司</w:t>
            </w:r>
            <w:r>
              <w:rPr>
                <w:rFonts w:hint="eastAsia" w:ascii="微软雅黑" w:hAnsi="微软雅黑" w:eastAsia="微软雅黑"/>
                <w:bCs/>
                <w:szCs w:val="24"/>
              </w:rPr>
              <w:t>）的质量</w:t>
            </w:r>
            <w:r>
              <w:rPr>
                <w:rFonts w:hint="eastAsia" w:ascii="微软雅黑" w:hAnsi="微软雅黑" w:eastAsia="微软雅黑"/>
                <w:bCs/>
                <w:szCs w:val="24"/>
                <w:lang w:eastAsia="zh-CN"/>
              </w:rPr>
              <w:t>、</w:t>
            </w:r>
            <w:r>
              <w:rPr>
                <w:rFonts w:hint="eastAsia" w:ascii="微软雅黑" w:hAnsi="微软雅黑" w:eastAsia="微软雅黑"/>
                <w:bCs/>
                <w:szCs w:val="24"/>
                <w:lang w:val="en-US" w:eastAsia="zh-CN"/>
              </w:rPr>
              <w:t>环境、职业健康安全</w:t>
            </w:r>
            <w:r>
              <w:rPr>
                <w:rFonts w:hint="eastAsia" w:ascii="微软雅黑" w:hAnsi="微软雅黑" w:eastAsia="微软雅黑"/>
                <w:bCs/>
                <w:szCs w:val="24"/>
              </w:rPr>
              <w:t>管理体系适宜、充分、得到良好的实施和保持，体系运行持续有效。</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lang w:eastAsia="zh-CN"/>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lang w:val="en-US" w:eastAsia="zh-CN"/>
              </w:rPr>
              <w:t xml:space="preserve">  </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lang w:val="en-US" w:eastAsia="zh-CN"/>
        </w:rPr>
        <w:t xml:space="preserve"> </w:t>
      </w:r>
      <w:r>
        <w:rPr>
          <w:rFonts w:hint="eastAsia"/>
          <w:b/>
          <w:sz w:val="21"/>
          <w:u w:val="single"/>
          <w:lang w:val="en-US" w:eastAsia="zh-CN"/>
        </w:rPr>
        <w:t xml:space="preserve">60  </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hAnsi="宋体" w:eastAsia="宋体" w:cs="Times New Roman"/>
          <w:kern w:val="2"/>
          <w:sz w:val="21"/>
          <w:szCs w:val="22"/>
          <w:lang w:val="en-US" w:eastAsia="zh-CN" w:bidi="ar-SA"/>
        </w:rPr>
        <w:drawing>
          <wp:anchor distT="0" distB="0" distL="114300" distR="114300" simplePos="0" relativeHeight="251750400" behindDoc="0" locked="0" layoutInCell="1" allowOverlap="1">
            <wp:simplePos x="0" y="0"/>
            <wp:positionH relativeFrom="column">
              <wp:posOffset>1676400</wp:posOffset>
            </wp:positionH>
            <wp:positionV relativeFrom="paragraph">
              <wp:posOffset>260985</wp:posOffset>
            </wp:positionV>
            <wp:extent cx="356235" cy="329565"/>
            <wp:effectExtent l="0" t="0" r="9525" b="5715"/>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6"/>
                    <a:stretch>
                      <a:fillRect/>
                    </a:stretch>
                  </pic:blipFill>
                  <pic:spPr>
                    <a:xfrm>
                      <a:off x="0" y="0"/>
                      <a:ext cx="356235" cy="32956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color w:val="000000" w:themeColor="text1"/>
          <w:sz w:val="21"/>
        </w:rPr>
      </w:pPr>
      <w:r>
        <w:rPr>
          <w:sz w:val="24"/>
        </w:rPr>
        <w:drawing>
          <wp:anchor distT="0" distB="0" distL="114300" distR="114300" simplePos="0" relativeHeight="251751424" behindDoc="0" locked="0" layoutInCell="1" allowOverlap="1">
            <wp:simplePos x="0" y="0"/>
            <wp:positionH relativeFrom="column">
              <wp:posOffset>2920365</wp:posOffset>
            </wp:positionH>
            <wp:positionV relativeFrom="paragraph">
              <wp:posOffset>36830</wp:posOffset>
            </wp:positionV>
            <wp:extent cx="669925" cy="483870"/>
            <wp:effectExtent l="0" t="0" r="635" b="3810"/>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669925" cy="483870"/>
                    </a:xfrm>
                    <a:prstGeom prst="rect">
                      <a:avLst/>
                    </a:prstGeom>
                    <a:noFill/>
                    <a:ln>
                      <a:noFill/>
                    </a:ln>
                  </pic:spPr>
                </pic:pic>
              </a:graphicData>
            </a:graphic>
          </wp:anchor>
        </w:drawing>
      </w:r>
      <w:r>
        <w:rPr>
          <w:rFonts w:hint="eastAsia"/>
          <w:b/>
          <w:sz w:val="22"/>
          <w:szCs w:val="22"/>
        </w:rPr>
        <w:drawing>
          <wp:anchor distT="0" distB="0" distL="114300" distR="114300" simplePos="0" relativeHeight="251749376" behindDoc="0" locked="0" layoutInCell="1" allowOverlap="1">
            <wp:simplePos x="0" y="0"/>
            <wp:positionH relativeFrom="column">
              <wp:posOffset>2454910</wp:posOffset>
            </wp:positionH>
            <wp:positionV relativeFrom="paragraph">
              <wp:posOffset>72390</wp:posOffset>
            </wp:positionV>
            <wp:extent cx="470535" cy="356235"/>
            <wp:effectExtent l="0" t="0" r="1905" b="9525"/>
            <wp:wrapNone/>
            <wp:docPr id="2"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签名.jpg"/>
                    <pic:cNvPicPr>
                      <a:picLocks noChangeAspect="1"/>
                    </pic:cNvPicPr>
                  </pic:nvPicPr>
                  <pic:blipFill>
                    <a:blip r:embed="rId8"/>
                    <a:stretch>
                      <a:fillRect/>
                    </a:stretch>
                  </pic:blipFill>
                  <pic:spPr>
                    <a:xfrm>
                      <a:off x="0" y="0"/>
                      <a:ext cx="470535" cy="356235"/>
                    </a:xfrm>
                    <a:prstGeom prst="rect">
                      <a:avLst/>
                    </a:prstGeom>
                    <a:noFill/>
                    <a:ln>
                      <a:noFill/>
                    </a:ln>
                  </pic:spPr>
                </pic:pic>
              </a:graphicData>
            </a:graphic>
          </wp:anchor>
        </w:drawing>
      </w:r>
      <w:r>
        <w:drawing>
          <wp:anchor distT="0" distB="0" distL="114300" distR="114300" simplePos="0" relativeHeight="251769856" behindDoc="0" locked="0" layoutInCell="1" allowOverlap="1">
            <wp:simplePos x="0" y="0"/>
            <wp:positionH relativeFrom="column">
              <wp:posOffset>1742440</wp:posOffset>
            </wp:positionH>
            <wp:positionV relativeFrom="paragraph">
              <wp:posOffset>123825</wp:posOffset>
            </wp:positionV>
            <wp:extent cx="525780" cy="281305"/>
            <wp:effectExtent l="0" t="0" r="7620" b="8255"/>
            <wp:wrapNone/>
            <wp:docPr id="4" name="图片 5" descr="C:\Users\24309\Desktop\卢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24309\Desktop\卢静.jpg"/>
                    <pic:cNvPicPr>
                      <a:picLocks noChangeAspect="1"/>
                    </pic:cNvPicPr>
                  </pic:nvPicPr>
                  <pic:blipFill>
                    <a:blip r:embed="rId9"/>
                    <a:stretch>
                      <a:fillRect/>
                    </a:stretch>
                  </pic:blipFill>
                  <pic:spPr>
                    <a:xfrm>
                      <a:off x="0" y="0"/>
                      <a:ext cx="525780" cy="28130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eastAsia" w:ascii="Times New Roman" w:hAnsi="Times New Roman" w:eastAsia="宋体" w:cs="Times New Roman"/>
          <w:b/>
          <w:color w:val="000000" w:themeColor="text1"/>
          <w:sz w:val="21"/>
          <w:szCs w:val="22"/>
        </w:rPr>
      </w:pPr>
      <w:r>
        <w:rPr>
          <w:rFonts w:hint="eastAsia"/>
          <w:b/>
          <w:color w:val="000000" w:themeColor="text1"/>
          <w:sz w:val="21"/>
        </w:rPr>
        <w:t>日期：</w:t>
      </w:r>
      <w:r>
        <w:rPr>
          <w:rFonts w:hint="eastAsia" w:ascii="Times New Roman" w:hAnsi="Times New Roman" w:eastAsia="宋体" w:cs="Times New Roman"/>
          <w:b/>
          <w:color w:val="000000" w:themeColor="text1"/>
          <w:sz w:val="21"/>
          <w:szCs w:val="22"/>
        </w:rPr>
        <w:t>2021年04月07日</w:t>
      </w:r>
    </w:p>
    <w:p>
      <w:pPr>
        <w:snapToGrid w:val="0"/>
        <w:spacing w:line="200" w:lineRule="exact"/>
        <w:ind w:firstLine="482" w:firstLineChars="300"/>
        <w:rPr>
          <w:b/>
          <w:color w:val="000000" w:themeColor="text1"/>
          <w:sz w:val="16"/>
          <w:szCs w:val="16"/>
        </w:rPr>
      </w:pPr>
    </w:p>
    <w:p>
      <w:pPr>
        <w:tabs>
          <w:tab w:val="left" w:pos="645"/>
        </w:tabs>
        <w:spacing w:after="163" w:afterLines="50" w:line="360" w:lineRule="exact"/>
        <w:rPr>
          <w:b/>
          <w:bCs/>
          <w:color w:val="000000" w:themeColor="text1"/>
          <w:sz w:val="16"/>
          <w:szCs w:val="16"/>
        </w:rPr>
      </w:pPr>
      <w:r>
        <w:rPr>
          <w:rFonts w:hint="eastAsia"/>
          <w:b/>
          <w:color w:val="000000" w:themeColor="text1"/>
          <w:sz w:val="26"/>
          <w:szCs w:val="26"/>
        </w:rPr>
        <w:t>十三、纠正措施验证及结论</w:t>
      </w:r>
      <w:r>
        <w:rPr>
          <w:rFonts w:hint="eastAsia"/>
          <w:b/>
          <w:bCs/>
          <w:color w:val="000000" w:themeColor="text1"/>
          <w:sz w:val="16"/>
          <w:szCs w:val="16"/>
        </w:rPr>
        <w:t>：</w:t>
      </w:r>
    </w:p>
    <w:p>
      <w:pPr>
        <w:spacing w:line="360" w:lineRule="exact"/>
        <w:ind w:firstLine="527" w:firstLineChars="250"/>
        <w:rPr>
          <w:b/>
          <w:bCs/>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ascii="宋体" w:hAnsi="宋体" w:eastAsia="宋体" w:cs="宋体"/>
          <w:b/>
          <w:bCs/>
          <w:color w:val="000000" w:themeColor="text1"/>
          <w:sz w:val="21"/>
          <w:szCs w:val="21"/>
        </w:rPr>
        <w:t>■</w:t>
      </w:r>
      <w:r>
        <w:rPr>
          <w:b/>
          <w:color w:val="000000" w:themeColor="text1"/>
          <w:sz w:val="21"/>
          <w:szCs w:val="21"/>
        </w:rPr>
        <w:t>QMS (</w:t>
      </w:r>
      <w:r>
        <w:rPr>
          <w:rFonts w:hint="eastAsia"/>
          <w:b/>
          <w:color w:val="000000" w:themeColor="text1"/>
          <w:sz w:val="21"/>
          <w:szCs w:val="21"/>
          <w:lang w:val="en-US" w:eastAsia="zh-CN"/>
        </w:rPr>
        <w:t xml:space="preserve">  1  </w:t>
      </w:r>
      <w:r>
        <w:rPr>
          <w:b/>
          <w:color w:val="000000" w:themeColor="text1"/>
          <w:sz w:val="21"/>
          <w:szCs w:val="21"/>
        </w:rPr>
        <w:t>)</w:t>
      </w:r>
      <w:r>
        <w:rPr>
          <w:rFonts w:hint="eastAsia"/>
          <w:b/>
          <w:color w:val="000000" w:themeColor="text1"/>
          <w:sz w:val="21"/>
          <w:szCs w:val="21"/>
        </w:rPr>
        <w:t>个一般不符合，</w:t>
      </w:r>
      <w:r>
        <w:rPr>
          <w:b/>
          <w:color w:val="000000" w:themeColor="text1"/>
          <w:sz w:val="21"/>
          <w:szCs w:val="21"/>
        </w:rPr>
        <w:t>(</w:t>
      </w:r>
      <w:r>
        <w:rPr>
          <w:rFonts w:hint="eastAsia"/>
          <w:b/>
          <w:color w:val="000000" w:themeColor="text1"/>
          <w:sz w:val="21"/>
          <w:szCs w:val="21"/>
          <w:lang w:val="en-US" w:eastAsia="zh-CN"/>
        </w:rPr>
        <w:t xml:space="preserve">  0  </w:t>
      </w:r>
      <w:r>
        <w:rPr>
          <w:b/>
          <w:color w:val="000000" w:themeColor="text1"/>
          <w:sz w:val="21"/>
          <w:szCs w:val="21"/>
        </w:rPr>
        <w:t>)</w:t>
      </w:r>
      <w:r>
        <w:rPr>
          <w:rFonts w:hint="eastAsia"/>
          <w:b/>
          <w:color w:val="000000" w:themeColor="text1"/>
          <w:sz w:val="21"/>
          <w:szCs w:val="21"/>
        </w:rPr>
        <w:t>个严重不符合，</w:t>
      </w:r>
      <w:r>
        <w:rPr>
          <w:rFonts w:hint="eastAsia"/>
          <w:b/>
          <w:color w:val="000000" w:themeColor="text1"/>
          <w:sz w:val="21"/>
          <w:szCs w:val="21"/>
          <w:lang w:eastAsia="zh-CN"/>
        </w:rPr>
        <w:t>■</w:t>
      </w:r>
      <w:r>
        <w:rPr>
          <w:rFonts w:hint="eastAsia"/>
          <w:b/>
          <w:color w:val="000000" w:themeColor="text1"/>
          <w:sz w:val="21"/>
          <w:szCs w:val="21"/>
        </w:rPr>
        <w:t>验证合格□仍有问题</w:t>
      </w:r>
    </w:p>
    <w:p>
      <w:pPr>
        <w:spacing w:line="360" w:lineRule="exact"/>
        <w:ind w:firstLine="843" w:firstLineChars="400"/>
        <w:rPr>
          <w:b/>
          <w:bCs/>
          <w:color w:val="000000" w:themeColor="text1"/>
          <w:sz w:val="21"/>
          <w:szCs w:val="21"/>
        </w:rPr>
      </w:pPr>
      <w:r>
        <w:rPr>
          <w:rFonts w:hint="eastAsia"/>
          <w:b/>
          <w:bCs/>
          <w:color w:val="000000" w:themeColor="text1"/>
          <w:sz w:val="21"/>
          <w:szCs w:val="21"/>
        </w:rPr>
        <w:t>审核中发现的□50430 (    )个一般不符合，(    )个严重不符合，□验证合格□仍有问题</w:t>
      </w:r>
    </w:p>
    <w:p>
      <w:pPr>
        <w:spacing w:line="360" w:lineRule="exact"/>
        <w:ind w:firstLine="843" w:firstLineChars="400"/>
        <w:rPr>
          <w:b/>
          <w:color w:val="000000" w:themeColor="text1"/>
          <w:sz w:val="21"/>
          <w:szCs w:val="21"/>
        </w:rPr>
      </w:pP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EMS ()</w:t>
      </w:r>
      <w:r>
        <w:rPr>
          <w:rFonts w:hint="eastAsia"/>
          <w:b/>
          <w:color w:val="000000" w:themeColor="text1"/>
          <w:sz w:val="21"/>
          <w:szCs w:val="21"/>
        </w:rPr>
        <w:t>个一般不符合，</w:t>
      </w:r>
      <w:r>
        <w:rPr>
          <w:b/>
          <w:color w:val="000000" w:themeColor="text1"/>
          <w:sz w:val="21"/>
          <w:szCs w:val="21"/>
        </w:rPr>
        <w:t>( )</w:t>
      </w:r>
      <w:r>
        <w:rPr>
          <w:rFonts w:hint="eastAsia"/>
          <w:b/>
          <w:color w:val="000000" w:themeColor="text1"/>
          <w:sz w:val="21"/>
          <w:szCs w:val="21"/>
        </w:rPr>
        <w:t>个严重不符合，□验证合格□仍有问题</w:t>
      </w:r>
    </w:p>
    <w:p>
      <w:pPr>
        <w:spacing w:line="360" w:lineRule="exact"/>
        <w:ind w:firstLine="843" w:firstLineChars="400"/>
        <w:rPr>
          <w:b/>
          <w:color w:val="000000" w:themeColor="text1"/>
          <w:sz w:val="21"/>
          <w:szCs w:val="21"/>
        </w:rPr>
      </w:pP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OHSMS (    )</w:t>
      </w:r>
      <w:r>
        <w:rPr>
          <w:rFonts w:hint="eastAsia"/>
          <w:b/>
          <w:color w:val="000000" w:themeColor="text1"/>
          <w:sz w:val="21"/>
          <w:szCs w:val="21"/>
        </w:rPr>
        <w:t>个一般不符合，</w:t>
      </w:r>
      <w:r>
        <w:rPr>
          <w:b/>
          <w:color w:val="000000" w:themeColor="text1"/>
          <w:sz w:val="21"/>
          <w:szCs w:val="21"/>
        </w:rPr>
        <w:t>(    )</w:t>
      </w:r>
      <w:r>
        <w:rPr>
          <w:rFonts w:hint="eastAsia"/>
          <w:b/>
          <w:color w:val="000000" w:themeColor="text1"/>
          <w:sz w:val="21"/>
          <w:szCs w:val="21"/>
        </w:rPr>
        <w:t>个严重不符合，□验证合格□仍有问题</w:t>
      </w:r>
      <w:r>
        <w:rPr>
          <w:rFonts w:hint="eastAsia"/>
          <w:b/>
          <w:bCs/>
          <w:color w:val="000000" w:themeColor="text1"/>
          <w:sz w:val="21"/>
          <w:szCs w:val="21"/>
        </w:rPr>
        <w:t>审</w:t>
      </w:r>
    </w:p>
    <w:p>
      <w:pPr>
        <w:spacing w:line="360" w:lineRule="exact"/>
        <w:ind w:firstLine="843" w:firstLineChars="400"/>
        <w:rPr>
          <w:b/>
          <w:color w:val="000000" w:themeColor="text1"/>
          <w:sz w:val="21"/>
          <w:szCs w:val="21"/>
        </w:rPr>
      </w:pPr>
    </w:p>
    <w:p>
      <w:pPr>
        <w:spacing w:before="163" w:beforeLines="50" w:line="400" w:lineRule="exact"/>
        <w:rPr>
          <w:b/>
          <w:color w:val="000000" w:themeColor="text1"/>
          <w:sz w:val="21"/>
          <w:szCs w:val="21"/>
          <w:u w:val="single"/>
        </w:rPr>
      </w:pPr>
      <w:r>
        <w:rPr>
          <w:rFonts w:hint="eastAsia"/>
          <w:b/>
          <w:color w:val="000000" w:themeColor="text1"/>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pPr>
      <w:r>
        <w:rPr>
          <w:rFonts w:hint="eastAsia" w:ascii="宋体" w:hAnsi="宋体" w:eastAsia="宋体" w:cs="Times New Roman"/>
          <w:kern w:val="2"/>
          <w:sz w:val="21"/>
          <w:szCs w:val="22"/>
          <w:lang w:val="en-US" w:eastAsia="zh-CN" w:bidi="ar-SA"/>
        </w:rPr>
        <w:drawing>
          <wp:anchor distT="0" distB="0" distL="114300" distR="114300" simplePos="0" relativeHeight="251863040" behindDoc="0" locked="0" layoutInCell="1" allowOverlap="1">
            <wp:simplePos x="0" y="0"/>
            <wp:positionH relativeFrom="column">
              <wp:posOffset>1239520</wp:posOffset>
            </wp:positionH>
            <wp:positionV relativeFrom="paragraph">
              <wp:posOffset>161290</wp:posOffset>
            </wp:positionV>
            <wp:extent cx="356235" cy="329565"/>
            <wp:effectExtent l="0" t="0" r="9525" b="5715"/>
            <wp:wrapNone/>
            <wp:docPr id="5"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45e69cce4380e02713697e955d1ffd9"/>
                    <pic:cNvPicPr>
                      <a:picLocks noChangeAspect="1"/>
                    </pic:cNvPicPr>
                  </pic:nvPicPr>
                  <pic:blipFill>
                    <a:blip r:embed="rId6"/>
                    <a:stretch>
                      <a:fillRect/>
                    </a:stretch>
                  </pic:blipFill>
                  <pic:spPr>
                    <a:xfrm>
                      <a:off x="0" y="0"/>
                      <a:ext cx="356235" cy="329565"/>
                    </a:xfrm>
                    <a:prstGeom prst="rect">
                      <a:avLst/>
                    </a:prstGeom>
                    <a:noFill/>
                    <a:ln>
                      <a:noFill/>
                    </a:ln>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C071BC6"/>
    <w:multiLevelType w:val="singleLevel"/>
    <w:tmpl w:val="6C071BC6"/>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F0DE0"/>
    <w:rsid w:val="077254E3"/>
    <w:rsid w:val="3AC432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8</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2021-04-07T07:27:01Z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