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"/>
        <w:gridCol w:w="1538"/>
        <w:gridCol w:w="6"/>
        <w:gridCol w:w="567"/>
        <w:gridCol w:w="1242"/>
        <w:gridCol w:w="75"/>
        <w:gridCol w:w="101"/>
        <w:gridCol w:w="36"/>
        <w:gridCol w:w="553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眉山金房物业服务有限责任公司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眉山市岷江大道中段139号东方银座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0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李宇</w:t>
            </w:r>
            <w:bookmarkEnd w:id="2"/>
          </w:p>
        </w:tc>
        <w:tc>
          <w:tcPr>
            <w:tcW w:w="153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15928859357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08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黄凯</w:t>
            </w:r>
          </w:p>
        </w:tc>
        <w:tc>
          <w:tcPr>
            <w:tcW w:w="153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499491587@qq.com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0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0267-2021-QEO EI</w:t>
            </w:r>
            <w:bookmarkEnd w:id="8"/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2021年04月08日 上午至2021年04月09日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6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56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56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56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2021年4月6日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2021年4月6日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含午休1个小时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行政人事部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/权限；6.2质量目标及其实现的策划；7.1.4过程运行环境；7.2能力；7.3意识；7.4沟通；7.5文件化信息；9.2内部审核；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含午休1个小时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行政人事部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8.4外部提供供方的控制；8.5.3顾客或外部供方的财产；8.5.6更改控制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（含服务场所）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</w:t>
            </w:r>
            <w:bookmarkStart w:id="17" w:name="_GoBack"/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  <w:bookmarkEnd w:id="17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8.1运行策划和控制；8.3设计开发控制； 8.5.1生产和服务提供的控制； 8.5.2标识和可追溯性；8.5.4防护；8.5.5交付后的活动；8.6产品和服务放行；8.7不合格输出的控制；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811648"/>
    <w:rsid w:val="6F8601FF"/>
    <w:rsid w:val="78CA7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2021-04-08T02:03:52Z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C750D43B287D4243A75F1A26FFAE3393</vt:lpwstr>
  </property>
</Properties>
</file>