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四川众信食品有限公司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许可范围内食用植物油、调味料（半固态、调味油）的生产</w:t>
      </w:r>
      <w:bookmarkEnd w:id="0"/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四川众信食品有限公司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bookmarkStart w:id="1" w:name="_GoBack"/>
      <w:bookmarkEnd w:id="1"/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2021年04月08日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3806A7B"/>
    <w:rsid w:val="069E795D"/>
    <w:rsid w:val="1A733E97"/>
    <w:rsid w:val="21BF393F"/>
    <w:rsid w:val="22CC44B0"/>
    <w:rsid w:val="2BE7163F"/>
    <w:rsid w:val="2DF067B5"/>
    <w:rsid w:val="46127555"/>
    <w:rsid w:val="47F62F01"/>
    <w:rsid w:val="4F792B39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2021-04-06T08:04:35Z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5C76FF09A44F4E5AAD6AAA8CEDA585EE</vt:lpwstr>
  </property>
</Properties>
</file>